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คณะมนุษยศาสตร์และสังคมศาสตร์ ม.ขอนแก่น</w:t>
      </w:r>
      <w:bookmarkEnd w:id="2"/>
    </w:p>
    <w:p>
      <w:pPr>
        <w:pStyle w:val="Heading2"/>
      </w:pPr>
      <w:bookmarkStart w:id="3" w:name="_Toc3"/>
      <w:r>
        <w:t>วันที่ 25 ตุลาคม 2562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10 ตุลาคม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25 ตุลาคม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ดูงานโรงงานทอผ้าเย็บผ้า และโรงงานคั่วกาแฟ ณ 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"ศูนย์ผลิตและจำหน่ายงานมือ 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ตลอดจน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แล้วยังช่วยทำให้โครงการฯ “สามารถเลี้ยงตนเอง”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“กระจายความเสี่ยง” ความล้มเหลวทางธุรกิจของหน่วยธุรกิจใดธุรกิจหนึ่งด้วย (พร้อมรับประทานอาหารว่างหน้าโรงคั่วกาแฟ)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 พระตำหนักดอยตุง และสวนแม่ฟ้าหลวง ตามอัธยาศัย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2019-10-10T14:13:23+07:00</dcterms:created>
  <dcterms:modified xsi:type="dcterms:W3CDTF">2019-10-10T14:13:23+07:00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