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โครงการเสริมสร้างประสิทธิภาพและพัฒนาคุณภาพชีวิตของข้าราชการจังหวัดชายแดนใต้ รุ่น 4/2562</w:t>
      </w:r>
      <w:bookmarkEnd w:id="2"/>
    </w:p>
    <w:p>
      <w:pPr>
        <w:pStyle w:val="Heading2"/>
      </w:pPr>
      <w:bookmarkStart w:id="3" w:name="_Toc3"/>
      <w:r>
        <w:t>วันที่ 17 มีนาคม 2562</w:t>
      </w:r>
      <w:bookmarkEnd w:id="3"/>
    </w:p>
    <w:p>
      <w:pPr>
        <w:pStyle w:val="Heading3"/>
      </w:pPr>
      <w:bookmarkStart w:id="4" w:name="_Toc4"/>
      <w:r>
        <w:t>(ครั้งที่ 2 ออกเอกสารเมื่อ 13 มีนาคม 2562)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17 มีนาคม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คณะเดินทางมายังโครงการพัฒนาดอยตุงฯ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ชมวีดีทัศน์ โครงการพัฒนาดอยตุงฯ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ชมพระตำหนักดอยตุง สวนแม่ฟ้าหลวงเเละหอแห่งแรงบันดาลใจ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2019-03-13T09:41:27+07:00</dcterms:created>
  <dcterms:modified xsi:type="dcterms:W3CDTF">2019-03-13T09:41:27+07:00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