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rPr>
          <w:rFonts w:ascii="BrowalliaUPC" w:hAnsi="BrowalliaUPC" w:eastAsia="BrowalliaUPC" w:cs="BrowalliaUPC"/>
          <w:sz w:val="36"/>
          <w:szCs w:val="36"/>
          <w:b/>
        </w:rPr>
        <w:t xml:space="preserve">(ร่าง) กำหนดการศึกษาดูงาน</w:t>
      </w:r>
      <w:br/>
      <w:r>
        <w:rPr>
          <w:rFonts w:ascii="BrowalliaUPC" w:hAnsi="BrowalliaUPC" w:eastAsia="BrowalliaUPC" w:cs="BrowalliaUPC"/>
          <w:sz w:val="36"/>
          <w:szCs w:val="36"/>
          <w:b/>
        </w:rPr>
        <w:t xml:space="preserve">ผู้บริหารและพนักงาน บริษัท ปตท. จำกัด มหาชน</w:t>
      </w:r>
      <w:br/>
      <w:r>
        <w:rPr>
          <w:rFonts w:ascii="BrowalliaUPC" w:hAnsi="BrowalliaUPC" w:eastAsia="BrowalliaUPC" w:cs="BrowalliaUPC"/>
          <w:sz w:val="36"/>
          <w:szCs w:val="36"/>
          <w:b/>
        </w:rPr>
        <w:t xml:space="preserve">ณ โครงการพัฒนาดอยตุง (พื้นที่ทรงงาน) อันเนื่องมาจากพระราชดำริ</w:t>
      </w:r>
      <w:br/>
      <w:r>
        <w:rPr>
          <w:rFonts w:ascii="BrowalliaUPC" w:hAnsi="BrowalliaUPC" w:eastAsia="BrowalliaUPC" w:cs="BrowalliaUPC"/>
          <w:sz w:val="36"/>
          <w:szCs w:val="36"/>
          <w:b/>
        </w:rPr>
        <w:t xml:space="preserve">วันที่ 3 ธันวาคม 2563</w:t>
      </w:r>
      <w:br/>
    </w:p>
    <w:tbl>
      <w:tblGrid>
        <w:gridCol w:w="2125.9842519685" w:type="dxa"/>
        <w:gridCol w:w="4818.8976377953" w:type="dxa"/>
        <w:gridCol w:w="2080.6299212598" w:type="dxa"/>
      </w:tblGrid>
      <w:tblPr>
        <w:tblStyle w:val="Blue Header"/>
      </w:tblPr>
      <w:tr>
        <w:trPr>
          <w:trHeight w:val="250" w:hRule="atLeast"/>
          <w:tblHeader w:val="1"/>
        </w:trPr>
        <w:tc>
          <w:tcPr>
            <w:tcW w:w="2125.9842519685" w:type="dxa"/>
            <w:vAlign w:val="top"/>
            <w:shd w:val="clear" w:color="" w:fill="00206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วันที่/เวลา</w:t>
            </w:r>
          </w:p>
        </w:tc>
        <w:tc>
          <w:tcPr>
            <w:tcW w:w="4818.8976377953" w:type="dxa"/>
            <w:vAlign w:val="top"/>
            <w:shd w:val="clear" w:color="" w:fill="00206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กำหนดการ</w:t>
            </w:r>
          </w:p>
        </w:tc>
        <w:tc>
          <w:tcPr>
            <w:tcW w:w="2080.6299212598" w:type="dxa"/>
            <w:vAlign w:val="top"/>
            <w:shd w:val="clear" w:color="" w:fill="00206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หมายเหตุ</w:t>
            </w:r>
          </w:p>
        </w:tc>
      </w:tr>
      <w:tr>
        <w:trPr>
          <w:trHeight w:val="250" w:hRule="atLeast"/>
        </w:trPr>
        <w:tc>
          <w:tcPr>
            <w:tcW w:w="9025.5118110236" w:type="dxa"/>
            <w:vAlign w:val="center"/>
            <w:shd w:val="clear" w:color="" w:fill="9cc2e5"/>
            <w:gridSpan w:val="3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วันพฤหัส 3 ธันวาคม 2563</w:t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09:30 - 11:00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เยี่่ยมชมพระตำหนักดอยตุง สวนแม่ฟ้าหลวงและหอแห่งแรงบันดาลใจ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11:00 - 12:00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ฟังบรรยายสรุป "โครงการพัฒนาดอยตุงฯ" และ "การจัดการด้านสิ่งเเวดล้อม พลังงานทดแทนเเละพลังงานหมุนเวียน" ศึกษาดูงานระบบโซล่าเซลล์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12:00 - 13:00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ศาลาลีลาวดี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13:00 - 13:30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ออกเดินทางไปยังศูนย์ผลิตและจำหน่ายงานมือ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13:30 - 14:30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ศึกษาดูงานระบบพลังงานเตาชีวมวลและโรงอบแห้งพลังงานอาทิตย์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14:30 - 15:30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ศึกษาดูงานระบบบำบัดน้ำเสียและเตาแก๊สซีไฟเออร์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15:30 - 16:00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</w:tbl>
    <w:p/>
    <w:p>
      <w:pPr/>
      <w:r>
        <w:rPr>
          <w:rFonts w:ascii="BrowalliaUPC" w:hAnsi="BrowalliaUPC" w:eastAsia="BrowalliaUPC" w:cs="BrowalliaUPC"/>
          <w:sz w:val="32"/>
          <w:szCs w:val="32"/>
          <w:u w:val="single"/>
        </w:rPr>
        <w:t xml:space="preserve">หมายเหตุ:</w:t>
      </w:r>
    </w:p>
    <w:p>
      <w:pPr>
        <w:spacing w:after="0" w:line="240" w:lineRule="auto"/>
        <w:numPr>
          <w:ilvl w:val="0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กำหนดการอาจเปลี่ยนแปลงได้ตามความเหมาะสม</w:t>
      </w:r>
    </w:p>
    <w:p>
      <w:pPr>
        <w:spacing w:after="0" w:line="240" w:lineRule="auto"/>
        <w:numPr>
          <w:ilvl w:val="0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การเตรียมตัว</w:t>
      </w:r>
    </w:p>
    <w:p>
      <w:pPr>
        <w:spacing w:after="0" w:line="240" w:lineRule="auto"/>
        <w:numPr>
          <w:ilvl w:val="1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ชุดสุภาพ รองเท้าสวมใส่สบาย หุ้มส้น เช่น รองเท้าผ้าใบ ที่เหมาะสำหรับการเดินในพื้นที่ลาดชันและเปียกน้ำได้</w:t>
      </w:r>
    </w:p>
    <w:p>
      <w:pPr>
        <w:spacing w:after="0" w:line="240" w:lineRule="auto"/>
        <w:numPr>
          <w:ilvl w:val="1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ยาประจำตัว</w:t>
      </w:r>
    </w:p>
    <w:p>
      <w:pPr>
        <w:spacing w:after="0" w:line="240" w:lineRule="auto"/>
        <w:numPr>
          <w:ilvl w:val="1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อุปกรณ์กันแดด/ฝน เช่น หมวก ปลอกแขน ร่มพับ เสื้อกันลม</w:t>
      </w:r>
    </w:p>
    <w:p>
      <w:pPr>
        <w:spacing w:after="0" w:line="240" w:lineRule="auto"/>
        <w:numPr>
          <w:ilvl w:val="1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กระบอกน้ำหรือกระติกน้ำส่วนตัว</w:t>
      </w:r>
    </w:p>
    <w:p>
      <w:pPr>
        <w:spacing w:after="0" w:line="240" w:lineRule="auto"/>
        <w:numPr>
          <w:ilvl w:val="0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หากมีข้อจำกัดด้านอาหารหรือสุขภาพ กรุณาแจ้งข้อมูลให้ผู้ประสานงานทราบก่อนเข้าร่วมอบรม</w:t>
      </w:r>
    </w:p>
    <w:sectPr>
      <w:headerReference w:type="default" r:id="rId7"/>
      <w:footerReference w:type="default" r:id="rId8"/>
      <w:pgSz w:orient="portrait" w:w="11870" w:h="16787"/>
      <w:pgMar w:top="1440" w:right="1440" w:bottom="997.79527559055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10400" w:type="dxa"/>
      <w:gridCol w:w="100" w:type="dxa"/>
      <w:gridCol w:w="500" w:type="dxa"/>
    </w:tblGrid>
    <w:tblPr>
      <w:tblStyle w:val="Footer Table"/>
    </w:tblPr>
    <w:tr>
      <w:trPr/>
      <w:tc>
        <w:tcPr>
          <w:tcW w:w="10400" w:type="dxa"/>
          <w:tcBorders>
            <w:top w:val="single" w:sz="2" w:color="000000"/>
          </w:tcBorders>
        </w:tcPr>
        <w:p>
          <w:pPr>
            <w:jc w:val="right"/>
            <w:spacing w:after="0" w:line="240" w:lineRule="auto"/>
          </w:pPr>
          <w:r>
            <w:rPr>
              <w:rFonts w:ascii="BrowalliaUPC" w:hAnsi="BrowalliaUPC" w:eastAsia="BrowalliaUPC" w:cs="BrowalliaUPC"/>
              <w:sz w:val="24"/>
              <w:szCs w:val="24"/>
            </w:rPr>
            <w:t xml:space="preserve">(ร่าง) กำหนดการศึกษาดูงานคณะผู้บริหารและพนักงาน บริษัท ปตท. จำกัด มหาชน </w:t>
          </w:r>
          <w:br/>
          <w:r>
            <w:rPr>
              <w:rFonts w:ascii="BrowalliaUPC" w:hAnsi="BrowalliaUPC" w:eastAsia="BrowalliaUPC" w:cs="BrowalliaUPC"/>
              <w:sz w:val="24"/>
              <w:szCs w:val="24"/>
            </w:rPr>
            <w:t xml:space="preserve">3 ธันวาคม 2563 </w:t>
          </w:r>
        </w:p>
      </w:tc>
      <w:tc>
        <w:tcPr>
          <w:tcW w:w="100" w:type="dxa"/>
          <w:tcBorders>
            <w:top w:val="single" w:sz="2" w:color="000000"/>
          </w:tcBorders>
        </w:tcPr>
        <w:p/>
      </w:tc>
      <w:tc>
        <w:tcPr>
          <w:tcW w:w="500" w:type="dxa"/>
          <w:vAlign w:val="center"/>
          <w:shd w:val="clear" w:color="" w:fill="daa100"/>
        </w:tcPr>
        <w:p>
          <w:r>
            <w:rPr/>
            <w:t xml:space="preserve">  </w:t>
          </w:r>
          <w:r>
            <w:fldChar w:fldCharType="begin"/>
          </w:r>
          <w:r>
            <w:rPr/>
            <w:instrText xml:space="preserve">PAGE</w:instrText>
          </w:r>
          <w:r>
            <w:fldChar w:fldCharType="separate"/>
          </w:r>
          <w:r>
            <w:fldChar w:fldCharType="end"/>
          </w:r>
        </w:p>
      </w:tc>
    </w:tr>
  </w:tbl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right"/>
    </w:pPr>
    <w:r>
      <w:pict>
        <v:shape type="#_x0000_t75" style="width:250px; height:39px; margin-left:0px; margin-top:0px; mso-position-horizontal:left; mso-position-vertical:top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E135F6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9FA6864"/>
    <w:multiLevelType w:val="hybrid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 w:ascii="" w:hAnsi="" w:cs="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Blue Header">
    <w:name w:val="Blue Header"/>
    <w:uiPriority w:val="99"/>
    <w:tblPr>
      <w:tblW w:w="9025.5118110236" w:type="dxa"/>
      <w:tblCellMar>
        <w:top w:w="56.692913385827" w:type="dxa"/>
        <w:left w:w="56.692913385827" w:type="dxa"/>
        <w:right w:w="56.692913385827" w:type="dxa"/>
        <w:bottom w:w="56.692913385827" w:type="dxa"/>
      </w:tblCellMar>
      <w:tblBorders>
        <w:top w:val="single" w:sz="2" w:color=""/>
        <w:left w:val="single" w:sz="2" w:color=""/>
        <w:right w:val="single" w:sz="2" w:color=""/>
        <w:bottom w:val="single" w:sz="2" w:color=""/>
        <w:insideH w:val="single" w:sz="2" w:color=""/>
        <w:insideV w:val="single" w:sz="2" w:color=""/>
      </w:tblBorders>
    </w:tblPr>
  </w:style>
  <w:style w:type="table" w:customStyle="1" w:styleId="Footer Table">
    <w:name w:val="Footer Table"/>
    <w:uiPriority w:val="99"/>
    <w:tblPr>
      <w:tblW w:w="11000" w:type="pct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2020-11-06T11:59:33+07:00</dcterms:created>
  <dcterms:modified xsi:type="dcterms:W3CDTF">2020-11-06T11:59:33+07:00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