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rPr>
          <w:rFonts w:ascii="BrowalliaUPC" w:hAnsi="BrowalliaUPC" w:eastAsia="BrowalliaUPC" w:cs="BrowalliaUPC"/>
          <w:sz w:val="36"/>
          <w:szCs w:val="36"/>
          <w:b/>
        </w:rPr>
        <w:t xml:space="preserve">(ร่าง) กำหนดการศึกษาดูงาน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ศิลปกรรมศาสตร์ มหาวิทยาลัยธรรมศาสตร์ 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ณ โครงการพัฒนาดอยตุง (พื้นที่ทรงงาน) อันเนื่องมาจากพระราชดำริ</w:t>
      </w:r>
      <w:br/>
      <w:r>
        <w:rPr>
          <w:rFonts w:ascii="BrowalliaUPC" w:hAnsi="BrowalliaUPC" w:eastAsia="BrowalliaUPC" w:cs="BrowalliaUPC"/>
          <w:sz w:val="36"/>
          <w:szCs w:val="36"/>
          <w:b/>
        </w:rPr>
        <w:t xml:space="preserve">วันที่ 23 พฤศจิกายน 2563</w:t>
      </w:r>
      <w:br/>
    </w:p>
    <w:tbl>
      <w:tblGrid>
        <w:gridCol w:w="2125.9842519685" w:type="dxa"/>
        <w:gridCol w:w="4818.8976377953" w:type="dxa"/>
        <w:gridCol w:w="2080.6299212598" w:type="dxa"/>
      </w:tblGrid>
      <w:tblPr>
        <w:tblStyle w:val="Blue Header"/>
      </w:tblPr>
      <w:tr>
        <w:trPr>
          <w:trHeight w:val="250" w:hRule="atLeast"/>
          <w:tblHeader w:val="1"/>
        </w:trPr>
        <w:tc>
          <w:tcPr>
            <w:tcW w:w="2125.9842519685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วันที่/เวลา</w:t>
            </w:r>
          </w:p>
        </w:tc>
        <w:tc>
          <w:tcPr>
            <w:tcW w:w="4818.8976377953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กำหนดการ</w:t>
            </w:r>
          </w:p>
        </w:tc>
        <w:tc>
          <w:tcPr>
            <w:tcW w:w="2080.6299212598" w:type="dxa"/>
            <w:vAlign w:val="top"/>
            <w:shd w:val="clear" w:color="" w:fill="002060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หมายเหตุ</w:t>
            </w:r>
          </w:p>
        </w:tc>
      </w:tr>
      <w:tr>
        <w:trPr>
          <w:trHeight w:val="250" w:hRule="atLeast"/>
        </w:trPr>
        <w:tc>
          <w:tcPr>
            <w:tcW w:w="9025.5118110236" w:type="dxa"/>
            <w:vAlign w:val="center"/>
            <w:shd w:val="clear" w:color="" w:fill="9cc2e5"/>
            <w:gridSpan w:val="3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  <w:b/>
              </w:rPr>
              <w:t xml:space="preserve">วันจันทร์ 23 พฤศจิกายน 2563</w:t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09:00 - 09:10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คณะเดินทางถึงศูนย์ผลิตและจำหน่ายงานมือ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ทำธุระส่วนตัวให้เรียบร้อย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09:10 - 10:00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เยี่ยมชมโรงงานทอผ้าเย็บผ้า </w:t>
            </w:r>
            <w:br/>
            <w:r>
              <w:rPr>
                <w:rFonts w:ascii="BrowalliaUPC" w:hAnsi="BrowalliaUPC" w:eastAsia="BrowalliaUPC" w:cs="BrowalliaUPC"/>
                <w:sz w:val="28"/>
                <w:szCs w:val="28"/>
                <w:i/>
                <w:iCs/>
              </w:rPr>
              <w:t xml:space="preserve">พัฒนาจากโรงฝึกอาชีพหัตถกรรมและอุตสาหกรรมที่ตั้งขึ้นเพื่อสร้างงานสร้างรายได้สำหรับทุกคนไม่ว่าหญิงหรือชาย มีการศึกษาหรืออ่านไม่ออกเขียนไม่ได้ คนสูงอายุแต่ยังทำงานได้ หรือคนหนุ่มสาว โดยการต่อยอดความชำนาญและภูมิปัญญาท้องถิ่นและเน้นการพัฒนา “เพิ่มมูลค่า” ผลิตภัณฑ์งานมือต่างๆ ตลอด “ห่วงโซ่มูลค่า” (Value Chain) อย่างครบวงจรด้วย “เทคโนโลยีที่เหมาะสม” เพื่อให้เกิดเอกลักษณ์ ได้รูปแบบและคุณภาพตามที่ “ตลาดต้องการ” ปัจจุบันงานหัตถกรรมเป็นหนึ่งในหน่วยธุรกิจสำคัญที่นอกจากจะสร้างรายได้ที่มั่นคงให้กับชุมชนในโครงการพัฒนาดอยตุงฯ แล้วยังช่วยทำให้โครงการ “สามารถเลี้ยงตนเอง” โดยไม่ต้องพึ่งงบประมาณของรัฐหรือเงินบริจาค นอกจากนั้นความหลากหลายของกิจกรรมสร้างรายได้นี้ยังเป็นการ “กระจายความเสี่ยง” ความล้มเหลวทางธุรกิจของหน่วยธุรกิจใดธุรกิจหนึ่งด้วย (พร้อมรับประทานอาหารว่างเช้าหน้าโรงคั่วกาแฟ)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  <w:tr>
        <w:trPr/>
        <w:tc>
          <w:tcPr>
            <w:tcW w:w="2125.9842519685" w:type="dxa"/>
            <w:vAlign w:val="top"/>
          </w:tcPr>
          <w:p>
            <w:pPr>
              <w:jc w:val="center"/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10:00 - 10:30 น.</w:t>
            </w:r>
          </w:p>
        </w:tc>
        <w:tc>
          <w:tcPr>
            <w:tcW w:w="4818.8976377953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ชมโรงงานย้อมผ้า</w:t>
            </w:r>
          </w:p>
        </w:tc>
        <w:tc>
          <w:tcPr>
            <w:tcW w:w="2080.6299212598" w:type="dxa"/>
            <w:vAlign w:val="top"/>
          </w:tcPr>
          <w:p>
            <w:pPr>
              <w:spacing w:after="0" w:line="240" w:lineRule="auto"/>
            </w:pPr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/>
            </w:r>
          </w:p>
        </w:tc>
      </w:tr>
    </w:tbl>
    <w:p/>
    <w:p>
      <w:pPr/>
      <w:r>
        <w:rPr>
          <w:rFonts w:ascii="BrowalliaUPC" w:hAnsi="BrowalliaUPC" w:eastAsia="BrowalliaUPC" w:cs="BrowalliaUPC"/>
          <w:sz w:val="32"/>
          <w:szCs w:val="32"/>
          <w:u w:val="single"/>
        </w:rPr>
        <w:t xml:space="preserve">หมายเหตุ: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กำหนดการอาจเปลี่ยนแปลงได้ตามความเหมาะสม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การเตรียมตัว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ชุดสุภาพ รองเท้าสวมใส่สบาย หุ้มส้น เช่น รองเท้าผ้าใบ ที่เหมาะสำหรับการเดินในพื้นที่ลาดชันและเปียกน้ำได้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ยาประจำตัว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อุปกรณ์กันแดด/ฝน เช่น หมวก ปลอกแขน ร่มพับ เสื้อกันลม</w:t>
      </w:r>
    </w:p>
    <w:p>
      <w:pPr>
        <w:spacing w:after="0" w:line="240" w:lineRule="auto"/>
        <w:numPr>
          <w:ilvl w:val="1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กระบอกน้ำหรือกระติกน้ำส่วนตัว</w:t>
      </w:r>
    </w:p>
    <w:p>
      <w:pPr>
        <w:spacing w:after="0" w:line="240" w:lineRule="auto"/>
        <w:numPr>
          <w:ilvl w:val="0"/>
          <w:numId w:val="3"/>
        </w:numPr>
      </w:pPr>
      <w:r>
        <w:rPr>
          <w:rFonts w:ascii="BrowalliaUPC" w:hAnsi="BrowalliaUPC" w:eastAsia="BrowalliaUPC" w:cs="BrowalliaUPC"/>
          <w:sz w:val="32"/>
          <w:szCs w:val="32"/>
        </w:rPr>
        <w:t xml:space="preserve">หากมีข้อจำกัดด้านอาหารหรือสุขภาพ กรุณาแจ้งข้อมูลให้ผู้ประสานงานทราบก่อนเข้าร่วมอบรม</w:t>
      </w:r>
    </w:p>
    <w:sectPr>
      <w:headerReference w:type="default" r:id="rId7"/>
      <w:footerReference w:type="default" r:id="rId8"/>
      <w:pgSz w:orient="portrait" w:w="11870" w:h="16787"/>
      <w:pgMar w:top="1440" w:right="1440" w:bottom="997.79527559055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0400" w:type="dxa"/>
      <w:gridCol w:w="100" w:type="dxa"/>
      <w:gridCol w:w="500" w:type="dxa"/>
    </w:tblGrid>
    <w:tblPr>
      <w:tblStyle w:val="Footer Table"/>
    </w:tblPr>
    <w:tr>
      <w:trPr/>
      <w:tc>
        <w:tcPr>
          <w:tcW w:w="10400" w:type="dxa"/>
          <w:tcBorders>
            <w:top w:val="single" w:sz="2" w:color="000000"/>
          </w:tcBorders>
        </w:tcPr>
        <w:p>
          <w:pPr>
            <w:jc w:val="right"/>
            <w:spacing w:after="0" w:line="240" w:lineRule="auto"/>
          </w:pPr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(ร่าง) กำหนดการศึกษาดูงานคณะศิลปกรรมศาสตร์ มหาวิทยาลัยธรรมศาสตร์  </w:t>
          </w:r>
          <w:br/>
          <w:r>
            <w:rPr>
              <w:rFonts w:ascii="BrowalliaUPC" w:hAnsi="BrowalliaUPC" w:eastAsia="BrowalliaUPC" w:cs="BrowalliaUPC"/>
              <w:sz w:val="24"/>
              <w:szCs w:val="24"/>
            </w:rPr>
            <w:t xml:space="preserve">23 พฤศจิกายน 2563 </w:t>
          </w:r>
        </w:p>
      </w:tc>
      <w:tc>
        <w:tcPr>
          <w:tcW w:w="100" w:type="dxa"/>
          <w:tcBorders>
            <w:top w:val="single" w:sz="2" w:color="000000"/>
          </w:tcBorders>
        </w:tcPr>
        <w:p/>
      </w:tc>
      <w:tc>
        <w:tcPr>
          <w:tcW w:w="500" w:type="dxa"/>
          <w:vAlign w:val="center"/>
          <w:shd w:val="clear" w:color="" w:fill="daa100"/>
        </w:tcPr>
        <w:p>
          <w:r>
            <w:rPr/>
            <w:t xml:space="preserve">  </w:t>
          </w:r>
          <w:r>
            <w:fldChar w:fldCharType="begin"/>
          </w:r>
          <w:r>
            <w:rPr/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right"/>
    </w:pPr>
    <w:r>
      <w:pict>
        <v:shape type="#_x0000_t75" style="width:250px; height:39px; margin-left:0px; margin-top:0px; mso-position-horizontal:left; mso-position-vertical:top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0466F8A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1856E82"/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" w:hAnsi="" w:cs="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Blue Header">
    <w:name w:val="Blue Header"/>
    <w:uiPriority w:val="99"/>
    <w:tblPr>
      <w:tblW w:w="9025.5118110236" w:type="dxa"/>
      <w:tblCellMar>
        <w:top w:w="56.692913385827" w:type="dxa"/>
        <w:left w:w="56.692913385827" w:type="dxa"/>
        <w:right w:w="56.692913385827" w:type="dxa"/>
        <w:bottom w:w="56.692913385827" w:type="dxa"/>
      </w:tblCellMar>
      <w:tblBorders>
        <w:top w:val="single" w:sz="2" w:color=""/>
        <w:left w:val="single" w:sz="2" w:color=""/>
        <w:right w:val="single" w:sz="2" w:color=""/>
        <w:bottom w:val="single" w:sz="2" w:color=""/>
        <w:insideH w:val="single" w:sz="2" w:color=""/>
        <w:insideV w:val="single" w:sz="2" w:color=""/>
      </w:tblBorders>
    </w:tblPr>
  </w:style>
  <w:style w:type="table" w:customStyle="1" w:styleId="Footer Table">
    <w:name w:val="Footer Table"/>
    <w:uiPriority w:val="99"/>
    <w:tblPr>
      <w:tblW w:w="11000" w:type="pct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2020-11-13T09:32:44+07:00</dcterms:created>
  <dcterms:modified xsi:type="dcterms:W3CDTF">2020-11-13T09:32:44+07:00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