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Tabina Foundation</w:t>
      </w:r>
      <w:bookmarkEnd w:id="2"/>
    </w:p>
    <w:p>
      <w:pPr>
        <w:pStyle w:val="Heading2"/>
      </w:pPr>
      <w:bookmarkStart w:id="3" w:name="_Toc3"/>
      <w:r>
        <w:t>วันที่ 7 - 8 สิงหาคม 2559</w:t>
      </w:r>
      <w:bookmarkEnd w:id="3"/>
    </w:p>
    <w:p>
      <w:pPr>
        <w:pStyle w:val="Heading3"/>
      </w:pPr>
      <w:bookmarkStart w:id="4" w:name="_Toc4"/>
      <w:r>
        <w:t>(ครั้งที่ 1 ออกเอกสารเมื่อ 29 กรกฎาคม 2559)</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 7 สิงหาคม 2559</w:t>
            </w:r>
          </w:p>
        </w:tc>
      </w:tr>
      <w:tr>
        <w:trPr/>
        <w:tc>
          <w:tcPr>
            <w:tcW w:w="3000" w:type="dxa"/>
            <w:vAlign w:val="top"/>
          </w:tcPr>
          <w:p>
            <w:pPr/>
            <w:r>
              <w:rPr>
                <w:rFonts w:ascii="BrowalliaUPC" w:hAnsi="BrowalliaUPC" w:eastAsia="BrowalliaUPC" w:cs="BrowalliaUPC"/>
                <w:sz w:val="32"/>
                <w:szCs w:val="32"/>
              </w:rPr>
              <w:t xml:space="preserve">เวลา 12:40 - 13:00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14:30 - 16:00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16:00 - 16:10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16:10 - 16:30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16:30 - 17:30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วันจันทร์ 8 สิงหาคม 2559</w:t>
            </w:r>
          </w:p>
        </w:tc>
      </w:tr>
      <w:tr>
        <w:trPr/>
        <w:tc>
          <w:tcPr>
            <w:tcW w:w="3000" w:type="dxa"/>
            <w:vAlign w:val="top"/>
          </w:tcPr>
          <w:p>
            <w:pPr/>
            <w:r>
              <w:rPr>
                <w:rFonts w:ascii="BrowalliaUPC" w:hAnsi="BrowalliaUPC" w:eastAsia="BrowalliaUPC" w:cs="BrowalliaUPC"/>
                <w:sz w:val="32"/>
                <w:szCs w:val="32"/>
              </w:rPr>
              <w:t xml:space="preserve">เวลา 08:00 - 09:00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09:00 - 10:30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10:30 - 11:30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11:30 - 12:00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13:00 - 13:10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13:10 - 14:10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14:10 - 14:40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14:40 - 15:10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15:10 - 15:15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15:15 - 16:30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16:30 - 17:30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17:30 - 19:50 น.</w:t>
            </w:r>
          </w:p>
        </w:tc>
        <w:tc>
          <w:tcPr>
            <w:tcW w:w="70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Tabina Foundation</w:t>
      </w:r>
      <w:bookmarkEnd w:id="6"/>
    </w:p>
    <w:p>
      <w:pPr>
        <w:pStyle w:val="Heading2"/>
      </w:pPr>
      <w:bookmarkStart w:id="7" w:name="_Toc7"/>
      <w:r>
        <w:t>7 - 8 August 2016</w:t>
      </w:r>
      <w:bookmarkEnd w:id="7"/>
    </w:p>
    <w:p>
      <w:pPr>
        <w:pStyle w:val="Heading3"/>
      </w:pPr>
      <w:bookmarkStart w:id="8" w:name="_Toc8"/>
      <w:r>
        <w:t>(version 1 created at 29 July 2016)</w:t>
      </w:r>
      <w:bookmarkEnd w:id="8"/>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Sunday 7 August 2016</w:t>
            </w:r>
          </w:p>
        </w:tc>
      </w:tr>
      <w:tr>
        <w:trPr/>
        <w:tc>
          <w:tcPr>
            <w:tcW w:w="3000" w:type="dxa"/>
            <w:vAlign w:val="top"/>
          </w:tcPr>
          <w:p>
            <w:pPr/>
            <w:r>
              <w:rPr>
                <w:rFonts w:ascii="BrowalliaUPC" w:hAnsi="BrowalliaUPC" w:eastAsia="BrowalliaUPC" w:cs="BrowalliaUPC"/>
                <w:sz w:val="32"/>
                <w:szCs w:val="32"/>
              </w:rPr>
              <w:t xml:space="preserve">12:40 - 13:00</w:t>
            </w:r>
          </w:p>
        </w:tc>
        <w:tc>
          <w:tcPr>
            <w:tcW w:w="7000" w:type="dxa"/>
            <w:vAlign w:val="top"/>
          </w:tcPr>
          <w:p>
            <w:r>
              <w:rPr>
                <w:rFonts w:ascii="BrowalliaUPC" w:hAnsi="BrowalliaUPC" w:eastAsia="BrowalliaUPC" w:cs="BrowalliaUPC"/>
                <w:sz w:val="32"/>
                <w:szCs w:val="32"/>
              </w:rPr>
              <w:t xml:space="preserve">Pick up at the Chiang Rai Airport AirAsia FD 3209 (11.20 - 12.40)</w:t>
            </w:r>
          </w:p>
        </w:tc>
      </w:tr>
      <w:tr>
        <w:trPr/>
        <w:tc>
          <w:tcPr>
            <w:tcW w:w="3000" w:type="dxa"/>
            <w:vAlign w:val="top"/>
          </w:tcPr>
          <w:p>
            <w:pPr/>
            <w:r>
              <w:rPr>
                <w:rFonts w:ascii="BrowalliaUPC" w:hAnsi="BrowalliaUPC" w:eastAsia="BrowalliaUPC" w:cs="BrowalliaUPC"/>
                <w:sz w:val="32"/>
                <w:szCs w:val="32"/>
              </w:rPr>
              <w:t xml:space="preserve">13:00 - 14:30</w:t>
            </w:r>
          </w:p>
        </w:tc>
        <w:tc>
          <w:tcPr>
            <w:tcW w:w="7000" w:type="dxa"/>
            <w:vAlign w:val="top"/>
          </w:tcPr>
          <w:p>
            <w:r>
              <w:rPr>
                <w:rFonts w:ascii="BrowalliaUPC" w:hAnsi="BrowalliaUPC" w:eastAsia="BrowalliaUPC" w:cs="BrowalliaUPC"/>
                <w:sz w:val="32"/>
                <w:szCs w:val="32"/>
              </w:rPr>
              <w:t xml:space="preserve">Depart for the Hall of Opium </w:t>
            </w:r>
          </w:p>
        </w:tc>
      </w:tr>
      <w:tr>
        <w:trPr/>
        <w:tc>
          <w:tcPr>
            <w:tcW w:w="3000" w:type="dxa"/>
            <w:vAlign w:val="top"/>
          </w:tcPr>
          <w:p>
            <w:pPr/>
            <w:r>
              <w:rPr>
                <w:rFonts w:ascii="BrowalliaUPC" w:hAnsi="BrowalliaUPC" w:eastAsia="BrowalliaUPC" w:cs="BrowalliaUPC"/>
                <w:sz w:val="32"/>
                <w:szCs w:val="32"/>
              </w:rPr>
              <w:t xml:space="preserve">14:30 - 16:00</w:t>
            </w:r>
          </w:p>
        </w:tc>
        <w:tc>
          <w:tcPr>
            <w:tcW w:w="7000" w:type="dxa"/>
            <w:vAlign w:val="top"/>
          </w:tcPr>
          <w:p>
            <w:r>
              <w:rPr>
                <w:rFonts w:ascii="BrowalliaUPC" w:hAnsi="BrowalliaUPC" w:eastAsia="BrowalliaUPC" w:cs="BrowalliaUPC"/>
                <w:sz w:val="32"/>
                <w:szCs w:val="32"/>
              </w:rPr>
              <w:t xml:space="preserve">Visit the Hall of Opium </w:t>
            </w:r>
            <w:br/>
            <w:r>
              <w:rPr>
                <w:rFonts w:ascii="BrowalliaUPC" w:hAnsi="BrowalliaUPC" w:eastAsia="BrowalliaUPC" w:cs="BrowalliaUPC"/>
                <w:sz w:val="32"/>
                <w:szCs w:val="32"/>
                <w:i/>
                <w:iCs/>
              </w:rPr>
              <w:t xml:space="preserve">"An edutainment exhibition on 5,600 square meters from almost 10 years of research. Here visitors learn about the 5,000-year history of opium: how it was a drug to treat illnesses, how its use spread throughout the world, how imperialist expansion used opium in the economic colonization and control of China, and how it eventually came to dominate in the Golden Triangle and in Afghanistan. Visitors also learn about issues of addiction and illegal drugs, efforts to control drugs, and the impacts of drug abuse and addiction."</w:t>
            </w:r>
          </w:p>
        </w:tc>
      </w:tr>
      <w:tr>
        <w:trPr/>
        <w:tc>
          <w:tcPr>
            <w:tcW w:w="3000" w:type="dxa"/>
            <w:vAlign w:val="top"/>
          </w:tcPr>
          <w:p>
            <w:pPr/>
            <w:r>
              <w:rPr>
                <w:rFonts w:ascii="BrowalliaUPC" w:hAnsi="BrowalliaUPC" w:eastAsia="BrowalliaUPC" w:cs="BrowalliaUPC"/>
                <w:sz w:val="32"/>
                <w:szCs w:val="32"/>
              </w:rPr>
              <w:t xml:space="preserve">16:00 - 16:10</w:t>
            </w:r>
          </w:p>
        </w:tc>
        <w:tc>
          <w:tcPr>
            <w:tcW w:w="7000" w:type="dxa"/>
            <w:vAlign w:val="top"/>
          </w:tcPr>
          <w:p>
            <w:r>
              <w:rPr>
                <w:rFonts w:ascii="BrowalliaUPC" w:hAnsi="BrowalliaUPC" w:eastAsia="BrowalliaUPC" w:cs="BrowalliaUPC"/>
                <w:sz w:val="32"/>
                <w:szCs w:val="32"/>
              </w:rPr>
              <w:t xml:space="preserve">Depart for the  Golden Triangle</w:t>
            </w:r>
          </w:p>
        </w:tc>
      </w:tr>
      <w:tr>
        <w:trPr/>
        <w:tc>
          <w:tcPr>
            <w:tcW w:w="3000" w:type="dxa"/>
            <w:vAlign w:val="top"/>
          </w:tcPr>
          <w:p>
            <w:pPr/>
            <w:r>
              <w:rPr>
                <w:rFonts w:ascii="BrowalliaUPC" w:hAnsi="BrowalliaUPC" w:eastAsia="BrowalliaUPC" w:cs="BrowalliaUPC"/>
                <w:sz w:val="32"/>
                <w:szCs w:val="32"/>
              </w:rPr>
              <w:t xml:space="preserve">16:10 - 16:30</w:t>
            </w:r>
          </w:p>
        </w:tc>
        <w:tc>
          <w:tcPr>
            <w:tcW w:w="7000" w:type="dxa"/>
            <w:vAlign w:val="top"/>
          </w:tcPr>
          <w:p>
            <w:r>
              <w:rPr>
                <w:rFonts w:ascii="BrowalliaUPC" w:hAnsi="BrowalliaUPC" w:eastAsia="BrowalliaUPC" w:cs="BrowalliaUPC"/>
                <w:sz w:val="32"/>
                <w:szCs w:val="32"/>
              </w:rPr>
              <w:t xml:space="preserve">Visit the Golden Triangle</w:t>
            </w:r>
          </w:p>
        </w:tc>
      </w:tr>
      <w:tr>
        <w:trPr/>
        <w:tc>
          <w:tcPr>
            <w:tcW w:w="3000" w:type="dxa"/>
            <w:vAlign w:val="top"/>
          </w:tcPr>
          <w:p>
            <w:pPr/>
            <w:r>
              <w:rPr>
                <w:rFonts w:ascii="BrowalliaUPC" w:hAnsi="BrowalliaUPC" w:eastAsia="BrowalliaUPC" w:cs="BrowalliaUPC"/>
                <w:sz w:val="32"/>
                <w:szCs w:val="32"/>
              </w:rPr>
              <w:t xml:space="preserve">16:30 - 17:30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17:30 - 18:00</w:t>
            </w:r>
          </w:p>
        </w:tc>
        <w:tc>
          <w:tcPr>
            <w:tcW w:w="7000" w:type="dxa"/>
            <w:vAlign w:val="top"/>
          </w:tcPr>
          <w:p>
            <w:r>
              <w:rPr>
                <w:rFonts w:ascii="BrowalliaUPC" w:hAnsi="BrowalliaUPC" w:eastAsia="BrowalliaUPC" w:cs="BrowalliaUPC"/>
                <w:sz w:val="32"/>
                <w:szCs w:val="32"/>
              </w:rPr>
              <w:t xml:space="preserve">Check –in at Doi Tung Lodge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Monday 8 August 2016</w:t>
            </w:r>
          </w:p>
        </w:tc>
      </w:tr>
      <w:tr>
        <w:trPr/>
        <w:tc>
          <w:tcPr>
            <w:tcW w:w="3000" w:type="dxa"/>
            <w:vAlign w:val="top"/>
          </w:tcPr>
          <w:p>
            <w:pPr/>
            <w:r>
              <w:rPr>
                <w:rFonts w:ascii="BrowalliaUPC" w:hAnsi="BrowalliaUPC" w:eastAsia="BrowalliaUPC" w:cs="BrowalliaUPC"/>
                <w:sz w:val="32"/>
                <w:szCs w:val="32"/>
              </w:rPr>
              <w:t xml:space="preserve">08:00 - 09:00</w:t>
            </w:r>
          </w:p>
        </w:tc>
        <w:tc>
          <w:tcPr>
            <w:tcW w:w="7000" w:type="dxa"/>
            <w:vAlign w:val="top"/>
          </w:tcPr>
          <w:p>
            <w:r>
              <w:rPr>
                <w:rFonts w:ascii="BrowalliaUPC" w:hAnsi="BrowalliaUPC" w:eastAsia="BrowalliaUPC" w:cs="BrowalliaUPC"/>
                <w:sz w:val="32"/>
                <w:szCs w:val="32"/>
              </w:rPr>
              <w:t xml:space="preserve">Breakfast. Check out.</w:t>
            </w:r>
          </w:p>
        </w:tc>
      </w:tr>
      <w:tr>
        <w:trPr/>
        <w:tc>
          <w:tcPr>
            <w:tcW w:w="3000" w:type="dxa"/>
            <w:vAlign w:val="top"/>
          </w:tcPr>
          <w:p>
            <w:pPr/>
            <w:r>
              <w:rPr>
                <w:rFonts w:ascii="BrowalliaUPC" w:hAnsi="BrowalliaUPC" w:eastAsia="BrowalliaUPC" w:cs="BrowalliaUPC"/>
                <w:sz w:val="32"/>
                <w:szCs w:val="32"/>
              </w:rPr>
              <w:t xml:space="preserve">09:00 - 10:30</w:t>
            </w:r>
          </w:p>
        </w:tc>
        <w:tc>
          <w:tcPr>
            <w:tcW w:w="7000" w:type="dxa"/>
            <w:vAlign w:val="top"/>
          </w:tcPr>
          <w:p>
            <w:r>
              <w:rPr>
                <w:rFonts w:ascii="BrowalliaUPC" w:hAnsi="BrowalliaUPC" w:eastAsia="BrowalliaUPC" w:cs="BrowalliaUPC"/>
                <w:sz w:val="32"/>
                <w:szCs w:val="32"/>
              </w:rPr>
              <w:t xml:space="preserve">Briefing on the overview of Doi Tung Development Project and the Mae Fah Luang Foundation. Visit the Project's database centre</w:t>
            </w:r>
            <w:br/>
            <w:r>
              <w:rPr>
                <w:rFonts w:ascii="BrowalliaUPC" w:hAnsi="BrowalliaUPC" w:eastAsia="BrowalliaUPC" w:cs="BrowalliaUPC"/>
                <w:sz w:val="32"/>
                <w:szCs w:val="32"/>
                <w:i/>
                <w:iCs/>
              </w:rPr>
              <w:t xml:space="preserve">"Since 1988, the centre has been keeping track of socioeconomic and environmental data to assess the project’s accountability and development progress."</w:t>
            </w:r>
          </w:p>
        </w:tc>
      </w:tr>
      <w:tr>
        <w:trPr/>
        <w:tc>
          <w:tcPr>
            <w:tcW w:w="3000" w:type="dxa"/>
            <w:vAlign w:val="top"/>
          </w:tcPr>
          <w:p>
            <w:pPr/>
            <w:r>
              <w:rPr>
                <w:rFonts w:ascii="BrowalliaUPC" w:hAnsi="BrowalliaUPC" w:eastAsia="BrowalliaUPC" w:cs="BrowalliaUPC"/>
                <w:sz w:val="32"/>
                <w:szCs w:val="32"/>
              </w:rPr>
              <w:t xml:space="preserve">10:30 - 11:30</w:t>
            </w:r>
          </w:p>
        </w:tc>
        <w:tc>
          <w:tcPr>
            <w:tcW w:w="7000" w:type="dxa"/>
            <w:vAlign w:val="top"/>
          </w:tcPr>
          <w:p>
            <w:r>
              <w:rPr>
                <w:rFonts w:ascii="BrowalliaUPC" w:hAnsi="BrowalliaUPC" w:eastAsia="BrowalliaUPC" w:cs="BrowalliaUPC"/>
                <w:sz w:val="32"/>
                <w:szCs w:val="32"/>
              </w:rPr>
              <w:t xml:space="preserve">Discussion with the old generation of Doi Tung who have direct experiences with the Rehabilitation Center  and  visit Mae Fah Luang Garden</w:t>
            </w:r>
            <w:br/>
            <w:r>
              <w:rPr>
                <w:rFonts w:ascii="BrowalliaUPC" w:hAnsi="BrowalliaUPC" w:eastAsia="BrowalliaUPC" w:cs="BrowalliaUPC"/>
                <w:sz w:val="32"/>
                <w:szCs w:val="32"/>
                <w:i/>
                <w:iCs/>
              </w:rPr>
              <w:t xml:space="preserve">"Besides being a famous tourist destination, the Mae Fah Luang Garden creates jobs that train Doi Tung people more delicate skills in agriculture "</w:t>
            </w:r>
          </w:p>
        </w:tc>
      </w:tr>
      <w:tr>
        <w:trPr/>
        <w:tc>
          <w:tcPr>
            <w:tcW w:w="3000" w:type="dxa"/>
            <w:vAlign w:val="top"/>
          </w:tcPr>
          <w:p>
            <w:pPr/>
            <w:r>
              <w:rPr>
                <w:rFonts w:ascii="BrowalliaUPC" w:hAnsi="BrowalliaUPC" w:eastAsia="BrowalliaUPC" w:cs="BrowalliaUPC"/>
                <w:sz w:val="32"/>
                <w:szCs w:val="32"/>
              </w:rPr>
              <w:t xml:space="preserve">11:30 - 12:00</w:t>
            </w:r>
          </w:p>
        </w:tc>
        <w:tc>
          <w:tcPr>
            <w:tcW w:w="7000" w:type="dxa"/>
            <w:vAlign w:val="top"/>
          </w:tcPr>
          <w:p>
            <w:r>
              <w:rPr>
                <w:rFonts w:ascii="BrowalliaUPC" w:hAnsi="BrowalliaUPC" w:eastAsia="BrowalliaUPC" w:cs="BrowalliaUPC"/>
                <w:sz w:val="32"/>
                <w:szCs w:val="32"/>
              </w:rPr>
              <w:t xml:space="preserve">Visit the Hall of Inspiration and the Royal Villa </w:t>
            </w:r>
            <w:br/>
            <w:r>
              <w:rPr>
                <w:rFonts w:ascii="BrowalliaUPC" w:hAnsi="BrowalliaUPC" w:eastAsia="BrowalliaUPC" w:cs="BrowalliaUPC"/>
                <w:sz w:val="32"/>
                <w:szCs w:val="32"/>
                <w:i/>
                <w:iCs/>
              </w:rPr>
              <w:t xml:space="preserve">"The Hall of Inspiration - 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
The Royal Villa - The royal residence of HRH the late Princess Mother formerly served as the base of operations and was used to closed observe the development progress. It has since been transformed into a symbol of the Princess Mother’s commitment to improving living conditions for the people"</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13:00 - 13:10</w:t>
            </w:r>
          </w:p>
        </w:tc>
        <w:tc>
          <w:tcPr>
            <w:tcW w:w="7000" w:type="dxa"/>
            <w:vAlign w:val="top"/>
          </w:tcPr>
          <w:p>
            <w:r>
              <w:rPr>
                <w:rFonts w:ascii="BrowalliaUPC" w:hAnsi="BrowalliaUPC" w:eastAsia="BrowalliaUPC" w:cs="BrowalliaUPC"/>
                <w:sz w:val="32"/>
                <w:szCs w:val="32"/>
              </w:rPr>
              <w:t xml:space="preserve">Depart for  Navuti Company’s coffee and macadamia plantation Site</w:t>
            </w:r>
          </w:p>
        </w:tc>
      </w:tr>
      <w:tr>
        <w:trPr/>
        <w:tc>
          <w:tcPr>
            <w:tcW w:w="3000" w:type="dxa"/>
            <w:vAlign w:val="top"/>
          </w:tcPr>
          <w:p>
            <w:pPr/>
            <w:r>
              <w:rPr>
                <w:rFonts w:ascii="BrowalliaUPC" w:hAnsi="BrowalliaUPC" w:eastAsia="BrowalliaUPC" w:cs="BrowalliaUPC"/>
                <w:sz w:val="32"/>
                <w:szCs w:val="32"/>
              </w:rPr>
              <w:t xml:space="preserve">13:10 - 14:10</w:t>
            </w:r>
          </w:p>
        </w:tc>
        <w:tc>
          <w:tcPr>
            <w:tcW w:w="7000" w:type="dxa"/>
            <w:vAlign w:val="top"/>
          </w:tcPr>
          <w:p>
            <w:r>
              <w:rPr>
                <w:rFonts w:ascii="BrowalliaUPC" w:hAnsi="BrowalliaUPC" w:eastAsia="BrowalliaUPC" w:cs="BrowalliaUPC"/>
                <w:sz w:val="32"/>
                <w:szCs w:val="32"/>
              </w:rPr>
              <w:t xml:space="preserve">Visit Navuti Company’s coffee and macadamia plantation Site 1, &amp; value-added processing factory</w:t>
            </w:r>
            <w:br/>
            <w:r>
              <w:rPr>
                <w:rFonts w:ascii="BrowalliaUPC" w:hAnsi="BrowalliaUPC" w:eastAsia="BrowalliaUPC" w:cs="BrowalliaUPC"/>
                <w:sz w:val="32"/>
                <w:szCs w:val="32"/>
                <w:i/>
                <w:iCs/>
              </w:rPr>
              <w:t xml:space="preserve">"Founded in 1989, Navuti is one of the first public-private partnership and Social Enterprise in Thailand."</w:t>
            </w:r>
          </w:p>
        </w:tc>
      </w:tr>
      <w:tr>
        <w:trPr/>
        <w:tc>
          <w:tcPr>
            <w:tcW w:w="3000" w:type="dxa"/>
            <w:vAlign w:val="top"/>
          </w:tcPr>
          <w:p>
            <w:pPr/>
            <w:r>
              <w:rPr>
                <w:rFonts w:ascii="BrowalliaUPC" w:hAnsi="BrowalliaUPC" w:eastAsia="BrowalliaUPC" w:cs="BrowalliaUPC"/>
                <w:sz w:val="32"/>
                <w:szCs w:val="32"/>
              </w:rPr>
              <w:t xml:space="preserve">14:10 - 14:40</w:t>
            </w:r>
          </w:p>
        </w:tc>
        <w:tc>
          <w:tcPr>
            <w:tcW w:w="7000" w:type="dxa"/>
            <w:vAlign w:val="top"/>
          </w:tcPr>
          <w:p>
            <w:r>
              <w:rPr>
                <w:rFonts w:ascii="BrowalliaUPC" w:hAnsi="BrowalliaUPC" w:eastAsia="BrowalliaUPC" w:cs="BrowalliaUPC"/>
                <w:sz w:val="32"/>
                <w:szCs w:val="32"/>
              </w:rPr>
              <w:t xml:space="preserve">Depart for Doi Tung Tissue Culture Lab</w:t>
            </w:r>
          </w:p>
        </w:tc>
      </w:tr>
      <w:tr>
        <w:trPr/>
        <w:tc>
          <w:tcPr>
            <w:tcW w:w="3000" w:type="dxa"/>
            <w:vAlign w:val="top"/>
          </w:tcPr>
          <w:p>
            <w:pPr/>
            <w:r>
              <w:rPr>
                <w:rFonts w:ascii="BrowalliaUPC" w:hAnsi="BrowalliaUPC" w:eastAsia="BrowalliaUPC" w:cs="BrowalliaUPC"/>
                <w:sz w:val="32"/>
                <w:szCs w:val="32"/>
              </w:rPr>
              <w:t xml:space="preserve">14:40 - 15:10</w:t>
            </w:r>
          </w:p>
        </w:tc>
        <w:tc>
          <w:tcPr>
            <w:tcW w:w="7000" w:type="dxa"/>
            <w:vAlign w:val="top"/>
          </w:tcPr>
          <w:p>
            <w:r>
              <w:rPr>
                <w:rFonts w:ascii="BrowalliaUPC" w:hAnsi="BrowalliaUPC" w:eastAsia="BrowalliaUPC" w:cs="BrowalliaUPC"/>
                <w:sz w:val="32"/>
                <w:szCs w:val="32"/>
              </w:rPr>
              <w:t xml:space="preserve">Visit Doi Tung Tissue Culture Lab</w:t>
            </w:r>
          </w:p>
        </w:tc>
      </w:tr>
      <w:tr>
        <w:trPr/>
        <w:tc>
          <w:tcPr>
            <w:tcW w:w="3000" w:type="dxa"/>
            <w:vAlign w:val="top"/>
          </w:tcPr>
          <w:p>
            <w:pPr/>
            <w:r>
              <w:rPr>
                <w:rFonts w:ascii="BrowalliaUPC" w:hAnsi="BrowalliaUPC" w:eastAsia="BrowalliaUPC" w:cs="BrowalliaUPC"/>
                <w:sz w:val="32"/>
                <w:szCs w:val="32"/>
              </w:rPr>
              <w:t xml:space="preserve">15:10 - 15:15</w:t>
            </w:r>
          </w:p>
        </w:tc>
        <w:tc>
          <w:tcPr>
            <w:tcW w:w="7000" w:type="dxa"/>
            <w:vAlign w:val="top"/>
          </w:tcPr>
          <w:p>
            <w:r>
              <w:rPr>
                <w:rFonts w:ascii="BrowalliaUPC" w:hAnsi="BrowalliaUPC" w:eastAsia="BrowalliaUPC" w:cs="BrowalliaUPC"/>
                <w:sz w:val="32"/>
                <w:szCs w:val="32"/>
              </w:rPr>
              <w:t xml:space="preserve">Depart for  the Cottage Industry Centre and Outlet</w:t>
            </w:r>
          </w:p>
        </w:tc>
      </w:tr>
      <w:tr>
        <w:trPr/>
        <w:tc>
          <w:tcPr>
            <w:tcW w:w="3000" w:type="dxa"/>
            <w:vAlign w:val="top"/>
          </w:tcPr>
          <w:p>
            <w:pPr/>
            <w:r>
              <w:rPr>
                <w:rFonts w:ascii="BrowalliaUPC" w:hAnsi="BrowalliaUPC" w:eastAsia="BrowalliaUPC" w:cs="BrowalliaUPC"/>
                <w:sz w:val="32"/>
                <w:szCs w:val="32"/>
              </w:rPr>
              <w:t xml:space="preserve">15:15 - 16:30</w:t>
            </w:r>
          </w:p>
        </w:tc>
        <w:tc>
          <w:tcPr>
            <w:tcW w:w="7000" w:type="dxa"/>
            <w:vAlign w:val="top"/>
          </w:tcPr>
          <w:p>
            <w:r>
              <w:rPr>
                <w:rFonts w:ascii="BrowalliaUPC" w:hAnsi="BrowalliaUPC" w:eastAsia="BrowalliaUPC" w:cs="BrowalliaUPC"/>
                <w:sz w:val="32"/>
                <w:szCs w:val="32"/>
              </w:rPr>
              <w:t xml:space="preserve">Visit Cottage Industry Centre and Outlet </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	Weaving Factory
•	Mulberry paper Factory
•	Coffee Roasting Facility 
•	Ceramic Factory
"</w:t>
            </w:r>
          </w:p>
        </w:tc>
      </w:tr>
      <w:tr>
        <w:trPr/>
        <w:tc>
          <w:tcPr>
            <w:tcW w:w="3000" w:type="dxa"/>
            <w:vAlign w:val="top"/>
          </w:tcPr>
          <w:p>
            <w:pPr/>
            <w:r>
              <w:rPr>
                <w:rFonts w:ascii="BrowalliaUPC" w:hAnsi="BrowalliaUPC" w:eastAsia="BrowalliaUPC" w:cs="BrowalliaUPC"/>
                <w:sz w:val="32"/>
                <w:szCs w:val="32"/>
              </w:rPr>
              <w:t xml:space="preserve">16:30 - 17:30</w:t>
            </w:r>
          </w:p>
        </w:tc>
        <w:tc>
          <w:tcPr>
            <w:tcW w:w="7000" w:type="dxa"/>
            <w:vAlign w:val="top"/>
          </w:tcPr>
          <w:p>
            <w:r>
              <w:rPr>
                <w:rFonts w:ascii="BrowalliaUPC" w:hAnsi="BrowalliaUPC" w:eastAsia="BrowalliaUPC" w:cs="BrowalliaUPC"/>
                <w:sz w:val="32"/>
                <w:szCs w:val="32"/>
              </w:rPr>
              <w:t xml:space="preserve">Depart for Chiang Rai Airport</w:t>
            </w:r>
          </w:p>
        </w:tc>
      </w:tr>
      <w:tr>
        <w:trPr/>
        <w:tc>
          <w:tcPr>
            <w:tcW w:w="3000" w:type="dxa"/>
            <w:vAlign w:val="top"/>
          </w:tcPr>
          <w:p>
            <w:pPr/>
            <w:r>
              <w:rPr>
                <w:rFonts w:ascii="BrowalliaUPC" w:hAnsi="BrowalliaUPC" w:eastAsia="BrowalliaUPC" w:cs="BrowalliaUPC"/>
                <w:sz w:val="32"/>
                <w:szCs w:val="32"/>
              </w:rPr>
              <w:t xml:space="preserve">17:30 - 19:50</w:t>
            </w:r>
          </w:p>
        </w:tc>
        <w:tc>
          <w:tcPr>
            <w:tcW w:w="7000" w:type="dxa"/>
            <w:vAlign w:val="top"/>
          </w:tcPr>
          <w:p>
            <w:r>
              <w:rPr>
                <w:rFonts w:ascii="BrowalliaUPC" w:hAnsi="BrowalliaUPC" w:eastAsia="BrowalliaUPC" w:cs="BrowalliaUPC"/>
                <w:sz w:val="32"/>
                <w:szCs w:val="32"/>
              </w:rPr>
              <w:t xml:space="preserve">Depart for Don Maung Airport by Nok Air DD 8723 (18.30 – 19.50)</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2016-07-29T20:15:02+07:00</dcterms:created>
  <dcterms:modified xsi:type="dcterms:W3CDTF">2016-07-29T20:15:02+07:00</dcterms:modified>
</cp:coreProperties>
</file>

<file path=docProps/custom.xml><?xml version="1.0" encoding="utf-8"?>
<Properties xmlns="http://schemas.openxmlformats.org/officeDocument/2006/custom-properties" xmlns:vt="http://schemas.openxmlformats.org/officeDocument/2006/docPropsVTypes"/>
</file>