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bookmarkStart w:id="1" w:name="_Toc1"/>
      <w:r>
        <w:t>(ร่าง)โปรแกรม แผน A</w:t>
      </w:r>
      <w:bookmarkEnd w:id="1"/>
    </w:p>
    <w:p>
      <w:pPr>
        <w:pStyle w:val="Heading1"/>
      </w:pPr>
      <w:bookmarkStart w:id="2" w:name="_Toc2"/>
      <w:r>
        <w:t>คณะผู้บริหารระดับสูงกรมป่าไม้ประเทศมาเลเซีย</w:t>
      </w:r>
      <w:bookmarkEnd w:id="2"/>
    </w:p>
    <w:p>
      <w:pPr>
        <w:pStyle w:val="Heading2"/>
      </w:pPr>
      <w:bookmarkStart w:id="3" w:name="_Toc3"/>
      <w:r>
        <w:t>วันที่ 30 พฤศจิกายน - 1 ธันวาคม 2558</w:t>
      </w:r>
      <w:bookmarkEnd w:id="3"/>
    </w:p>
    <w:p>
      <w:pPr>
        <w:pStyle w:val="Heading3"/>
      </w:pPr>
      <w:bookmarkStart w:id="4" w:name="_Toc4"/>
      <w:r>
        <w:t>(ครั้งที่ 1 ออกเอกสารเมื่อ 15 พฤศจิกายน 2558)</w:t>
      </w:r>
      <w:bookmarkEnd w:id="4"/>
    </w:p>
    <w:p/>
    <w:tbl>
      <w:tblGrid>
        <w:gridCol w:w="2500" w:type="dxa"/>
        <w:gridCol w:w="75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วันจันทร์ 30 พฤศจิกายน 2558</w:t>
            </w:r>
          </w:p>
        </w:tc>
      </w:tr>
      <w:tr>
        <w:trPr/>
        <w:tc>
          <w:tcPr>
            <w:tcW w:w="2500" w:type="dxa"/>
            <w:vAlign w:val="top"/>
          </w:tcPr>
          <w:p>
            <w:pPr/>
            <w:r>
              <w:rPr>
                <w:rFonts w:ascii="BrowalliaUPC" w:hAnsi="BrowalliaUPC" w:eastAsia="BrowalliaUPC" w:cs="BrowalliaUPC"/>
                <w:sz w:val="32"/>
                <w:szCs w:val="32"/>
              </w:rPr>
              <w:t xml:space="preserve">เวลา 16:00 - 16:30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16:30 - 18:00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18:00 - 19:00 น.</w:t>
            </w:r>
          </w:p>
        </w:tc>
        <w:tc>
          <w:tcPr>
            <w:tcW w:w="75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วันอังคาร 1 ธันวาคม 2558</w:t>
            </w:r>
          </w:p>
        </w:tc>
      </w:tr>
      <w:tr>
        <w:trPr/>
        <w:tc>
          <w:tcPr>
            <w:tcW w:w="2500" w:type="dxa"/>
            <w:vAlign w:val="top"/>
          </w:tcPr>
          <w:p>
            <w:pPr/>
            <w:r>
              <w:rPr>
                <w:rFonts w:ascii="BrowalliaUPC" w:hAnsi="BrowalliaUPC" w:eastAsia="BrowalliaUPC" w:cs="BrowalliaUPC"/>
                <w:sz w:val="32"/>
                <w:szCs w:val="32"/>
              </w:rPr>
              <w:t xml:space="preserve">เวลา 07:30 - 08:30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08:30 - 08:45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08:45 - 10:00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10:00 - 10:20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10:20 - 12:00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12:00 - 12:30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12:30 - 13:30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13:30 - 14:30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14:30 - 16:00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16:00 - 16:00 น.</w:t>
            </w:r>
          </w:p>
        </w:tc>
        <w:tc>
          <w:tcPr>
            <w:tcW w:w="7500" w:type="dxa"/>
            <w:vAlign w:val="top"/>
          </w:tcPr>
          <w:p>
            <w:r>
              <w:rPr>
                <w:rFonts w:ascii="BrowalliaUPC" w:hAnsi="BrowalliaUPC" w:eastAsia="BrowalliaUPC" w:cs="BrowalliaUPC"/>
                <w:sz w:val="32"/>
                <w:szCs w:val="32"/>
              </w:rPr>
              <w:t xml:space="preserve"/>
            </w:r>
          </w:p>
        </w:tc>
      </w:tr>
    </w:tbl>
    <w:p>
      <w:pPr>
        <w:sectPr>
          <w:pgSz w:orient="portrait" w:w="11870" w:h="16787"/>
          <w:pgMar w:top="1440" w:right="1440" w:bottom="1440" w:left="1440" w:header="720" w:footer="720" w:gutter="0"/>
          <w:cols w:num="1" w:space="720"/>
        </w:sectPr>
      </w:pPr>
    </w:p>
    <w:p>
      <w:pPr>
        <w:pStyle w:val="Heading2"/>
      </w:pPr>
      <w:bookmarkStart w:id="5" w:name="_Toc5"/>
      <w:r>
        <w:t>(Draft) Schedule for Study Visit A</w:t>
      </w:r>
      <w:bookmarkEnd w:id="5"/>
    </w:p>
    <w:p>
      <w:pPr>
        <w:pStyle w:val="Heading1"/>
      </w:pPr>
      <w:bookmarkStart w:id="6" w:name="_Toc6"/>
      <w:r>
        <w:t>คณะผู้บริหารระดับสูงกรมป่าไม้ประเทศมาเลเซีย</w:t>
      </w:r>
      <w:bookmarkEnd w:id="6"/>
    </w:p>
    <w:p>
      <w:pPr>
        <w:pStyle w:val="Heading2"/>
      </w:pPr>
      <w:bookmarkStart w:id="7" w:name="_Toc7"/>
      <w:r>
        <w:t>30 November - 1 December 2015</w:t>
      </w:r>
      <w:bookmarkEnd w:id="7"/>
    </w:p>
    <w:p>
      <w:pPr>
        <w:pStyle w:val="Heading3"/>
      </w:pPr>
      <w:bookmarkStart w:id="8" w:name="_Toc8"/>
      <w:r>
        <w:t>(version 2 created at 15 November 2015)</w:t>
      </w:r>
      <w:bookmarkEnd w:id="8"/>
    </w:p>
    <w:p/>
    <w:tbl>
      <w:tblGrid>
        <w:gridCol w:w="2500" w:type="dxa"/>
        <w:gridCol w:w="75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Monday 30 November 2015</w:t>
            </w:r>
          </w:p>
        </w:tc>
      </w:tr>
      <w:tr>
        <w:trPr/>
        <w:tc>
          <w:tcPr>
            <w:tcW w:w="2500" w:type="dxa"/>
            <w:vAlign w:val="top"/>
          </w:tcPr>
          <w:p>
            <w:pPr/>
            <w:r>
              <w:rPr>
                <w:rFonts w:ascii="BrowalliaUPC" w:hAnsi="BrowalliaUPC" w:eastAsia="BrowalliaUPC" w:cs="BrowalliaUPC"/>
                <w:sz w:val="32"/>
                <w:szCs w:val="32"/>
              </w:rPr>
              <w:t xml:space="preserve">16:00 - 16:30</w:t>
            </w:r>
          </w:p>
        </w:tc>
        <w:tc>
          <w:tcPr>
            <w:tcW w:w="7500" w:type="dxa"/>
            <w:vAlign w:val="top"/>
          </w:tcPr>
          <w:p>
            <w:r>
              <w:rPr>
                <w:rFonts w:ascii="BrowalliaUPC" w:hAnsi="BrowalliaUPC" w:eastAsia="BrowalliaUPC" w:cs="BrowalliaUPC"/>
                <w:sz w:val="32"/>
                <w:szCs w:val="32"/>
              </w:rPr>
              <w:t xml:space="preserve">Arrive at the Doi Tung Development Project. Check in at Doi Tung Lodge.</w:t>
            </w:r>
          </w:p>
        </w:tc>
      </w:tr>
      <w:tr>
        <w:trPr/>
        <w:tc>
          <w:tcPr>
            <w:tcW w:w="2500" w:type="dxa"/>
            <w:vAlign w:val="top"/>
          </w:tcPr>
          <w:p>
            <w:pPr/>
            <w:r>
              <w:rPr>
                <w:rFonts w:ascii="BrowalliaUPC" w:hAnsi="BrowalliaUPC" w:eastAsia="BrowalliaUPC" w:cs="BrowalliaUPC"/>
                <w:sz w:val="32"/>
                <w:szCs w:val="32"/>
              </w:rPr>
              <w:t xml:space="preserve">16:30 - 18:00</w:t>
            </w:r>
          </w:p>
        </w:tc>
        <w:tc>
          <w:tcPr>
            <w:tcW w:w="7500" w:type="dxa"/>
            <w:vAlign w:val="top"/>
          </w:tcPr>
          <w:p>
            <w:r>
              <w:rPr>
                <w:rFonts w:ascii="BrowalliaUPC" w:hAnsi="BrowalliaUPC" w:eastAsia="BrowalliaUPC" w:cs="BrowalliaUPC"/>
                <w:sz w:val="32"/>
                <w:szCs w:val="32"/>
              </w:rPr>
              <w:t xml:space="preserve">Visit Doi Tung Royal Villa, the Hall of Inspiration, and Mae Fah Luang Garden</w:t>
            </w:r>
            <w:br/>
            <w:r>
              <w:rPr>
                <w:rFonts w:ascii="BrowalliaUPC" w:hAnsi="BrowalliaUPC" w:eastAsia="BrowalliaUPC" w:cs="BrowalliaUPC"/>
                <w:sz w:val="32"/>
                <w:szCs w:val="32"/>
                <w:i/>
                <w:iCs/>
              </w:rPr>
              <w:t xml:space="preserve">"Doi Tung Royal Villa - The royal residence of HRH the late Princess Mother formerly served as the base of operations and was used to closed observe the development progress. It has since been transformed into a symbol of the Princess Mother’s commitment to improving living conditions for the people
The Hall of Inspiration - The exhibition shows the characters, philosophies, and working principles of the Royal family, as well as their diligence to find ways to improve the lives and livelihoods of the Thai people in all corners of the Kingdom through simple but effective works. It also shows how the members of the family inspired each other, and how their examples can inspire so many others.
Mae Fah Luang Garden – Besides being a famous tourist destination, the Mae Fah Luang Garden creates jobs that train Doi Tung people more delicate skills in agriculture."</w:t>
            </w:r>
          </w:p>
        </w:tc>
      </w:tr>
      <w:tr>
        <w:trPr/>
        <w:tc>
          <w:tcPr>
            <w:tcW w:w="2500" w:type="dxa"/>
            <w:vAlign w:val="top"/>
          </w:tcPr>
          <w:p>
            <w:pPr/>
            <w:r>
              <w:rPr>
                <w:rFonts w:ascii="BrowalliaUPC" w:hAnsi="BrowalliaUPC" w:eastAsia="BrowalliaUPC" w:cs="BrowalliaUPC"/>
                <w:sz w:val="32"/>
                <w:szCs w:val="32"/>
              </w:rPr>
              <w:t xml:space="preserve">18:00 - 19:00</w:t>
            </w:r>
          </w:p>
        </w:tc>
        <w:tc>
          <w:tcPr>
            <w:tcW w:w="7500" w:type="dxa"/>
            <w:vAlign w:val="top"/>
          </w:tcPr>
          <w:p>
            <w:r>
              <w:rPr>
                <w:rFonts w:ascii="BrowalliaUPC" w:hAnsi="BrowalliaUPC" w:eastAsia="BrowalliaUPC" w:cs="BrowalliaUPC"/>
                <w:sz w:val="32"/>
                <w:szCs w:val="32"/>
              </w:rPr>
              <w:t xml:space="preserve">Dinner at Krua Tumnak</w:t>
            </w:r>
          </w:p>
        </w:tc>
      </w:tr>
      <w:tr>
        <w:trPr/>
        <w:tc>
          <w:tcPr>
            <w:tcW w:w="10000" w:type="dxa"/>
            <w:vAlign w:val="center"/>
            <w:gridSpan w:val="2"/>
          </w:tcPr>
          <w:p>
            <w:pPr/>
            <w:r>
              <w:rPr>
                <w:rFonts w:ascii="BrowalliaUPC" w:hAnsi="BrowalliaUPC" w:eastAsia="BrowalliaUPC" w:cs="BrowalliaUPC"/>
                <w:sz w:val="32"/>
                <w:szCs w:val="32"/>
                <w:b/>
                <w:u w:val="single"/>
              </w:rPr>
              <w:t xml:space="preserve">Tuesday 1 December 2015</w:t>
            </w:r>
          </w:p>
        </w:tc>
      </w:tr>
      <w:tr>
        <w:trPr/>
        <w:tc>
          <w:tcPr>
            <w:tcW w:w="2500" w:type="dxa"/>
            <w:vAlign w:val="top"/>
          </w:tcPr>
          <w:p>
            <w:pPr/>
            <w:r>
              <w:rPr>
                <w:rFonts w:ascii="BrowalliaUPC" w:hAnsi="BrowalliaUPC" w:eastAsia="BrowalliaUPC" w:cs="BrowalliaUPC"/>
                <w:sz w:val="32"/>
                <w:szCs w:val="32"/>
              </w:rPr>
              <w:t xml:space="preserve">07:30 - 08:30</w:t>
            </w:r>
          </w:p>
        </w:tc>
        <w:tc>
          <w:tcPr>
            <w:tcW w:w="7500" w:type="dxa"/>
            <w:vAlign w:val="top"/>
          </w:tcPr>
          <w:p>
            <w:r>
              <w:rPr>
                <w:rFonts w:ascii="BrowalliaUPC" w:hAnsi="BrowalliaUPC" w:eastAsia="BrowalliaUPC" w:cs="BrowalliaUPC"/>
                <w:sz w:val="32"/>
                <w:szCs w:val="32"/>
              </w:rPr>
              <w:t xml:space="preserve">Breakfast at Sala Leelawadee</w:t>
            </w:r>
          </w:p>
        </w:tc>
      </w:tr>
      <w:tr>
        <w:trPr/>
        <w:tc>
          <w:tcPr>
            <w:tcW w:w="2500" w:type="dxa"/>
            <w:vAlign w:val="top"/>
          </w:tcPr>
          <w:p>
            <w:pPr/>
            <w:r>
              <w:rPr>
                <w:rFonts w:ascii="BrowalliaUPC" w:hAnsi="BrowalliaUPC" w:eastAsia="BrowalliaUPC" w:cs="BrowalliaUPC"/>
                <w:sz w:val="32"/>
                <w:szCs w:val="32"/>
              </w:rPr>
              <w:t xml:space="preserve">08:30 - 08:45</w:t>
            </w:r>
          </w:p>
        </w:tc>
        <w:tc>
          <w:tcPr>
            <w:tcW w:w="7500" w:type="dxa"/>
            <w:vAlign w:val="top"/>
          </w:tcPr>
          <w:p>
            <w:r>
              <w:rPr>
                <w:rFonts w:ascii="BrowalliaUPC" w:hAnsi="BrowalliaUPC" w:eastAsia="BrowalliaUPC" w:cs="BrowalliaUPC"/>
                <w:sz w:val="32"/>
                <w:szCs w:val="32"/>
              </w:rPr>
              <w:t xml:space="preserve">Leave for Navuti Company’s coffee and macadamia plantation Site 1</w:t>
            </w:r>
          </w:p>
        </w:tc>
      </w:tr>
      <w:tr>
        <w:trPr/>
        <w:tc>
          <w:tcPr>
            <w:tcW w:w="2500" w:type="dxa"/>
            <w:vAlign w:val="top"/>
          </w:tcPr>
          <w:p>
            <w:pPr/>
            <w:r>
              <w:rPr>
                <w:rFonts w:ascii="BrowalliaUPC" w:hAnsi="BrowalliaUPC" w:eastAsia="BrowalliaUPC" w:cs="BrowalliaUPC"/>
                <w:sz w:val="32"/>
                <w:szCs w:val="32"/>
              </w:rPr>
              <w:t xml:space="preserve">08:45 - 10:00</w:t>
            </w:r>
          </w:p>
        </w:tc>
        <w:tc>
          <w:tcPr>
            <w:tcW w:w="7500" w:type="dxa"/>
            <w:vAlign w:val="top"/>
          </w:tcPr>
          <w:p>
            <w:r>
              <w:rPr>
                <w:rFonts w:ascii="BrowalliaUPC" w:hAnsi="BrowalliaUPC" w:eastAsia="BrowalliaUPC" w:cs="BrowalliaUPC"/>
                <w:sz w:val="32"/>
                <w:szCs w:val="32"/>
              </w:rPr>
              <w:t xml:space="preserve">Visit Navuti Company’s coffee and macadamia plantation Site 1, &amp; value‐added processing factory. </w:t>
            </w:r>
            <w:br/>
            <w:r>
              <w:rPr>
                <w:rFonts w:ascii="BrowalliaUPC" w:hAnsi="BrowalliaUPC" w:eastAsia="BrowalliaUPC" w:cs="BrowalliaUPC"/>
                <w:sz w:val="32"/>
                <w:szCs w:val="32"/>
                <w:i/>
                <w:iCs/>
              </w:rPr>
              <w:t xml:space="preserve">"Founded in 1989, Navuti is one of the first public‐private partnership and Social
Enterprise in Thailand."</w:t>
            </w:r>
          </w:p>
        </w:tc>
      </w:tr>
      <w:tr>
        <w:trPr/>
        <w:tc>
          <w:tcPr>
            <w:tcW w:w="2500" w:type="dxa"/>
            <w:vAlign w:val="top"/>
          </w:tcPr>
          <w:p>
            <w:pPr/>
            <w:r>
              <w:rPr>
                <w:rFonts w:ascii="BrowalliaUPC" w:hAnsi="BrowalliaUPC" w:eastAsia="BrowalliaUPC" w:cs="BrowalliaUPC"/>
                <w:sz w:val="32"/>
                <w:szCs w:val="32"/>
              </w:rPr>
              <w:t xml:space="preserve">10:00 - 10:20</w:t>
            </w:r>
          </w:p>
        </w:tc>
        <w:tc>
          <w:tcPr>
            <w:tcW w:w="7500" w:type="dxa"/>
            <w:vAlign w:val="top"/>
          </w:tcPr>
          <w:p>
            <w:r>
              <w:rPr>
                <w:rFonts w:ascii="BrowalliaUPC" w:hAnsi="BrowalliaUPC" w:eastAsia="BrowalliaUPC" w:cs="BrowalliaUPC"/>
                <w:sz w:val="32"/>
                <w:szCs w:val="32"/>
              </w:rPr>
              <w:t xml:space="preserve">Leave for the Cottage Industry Centre and Outlet</w:t>
            </w:r>
          </w:p>
        </w:tc>
      </w:tr>
      <w:tr>
        <w:trPr/>
        <w:tc>
          <w:tcPr>
            <w:tcW w:w="2500" w:type="dxa"/>
            <w:vAlign w:val="top"/>
          </w:tcPr>
          <w:p>
            <w:pPr/>
            <w:r>
              <w:rPr>
                <w:rFonts w:ascii="BrowalliaUPC" w:hAnsi="BrowalliaUPC" w:eastAsia="BrowalliaUPC" w:cs="BrowalliaUPC"/>
                <w:sz w:val="32"/>
                <w:szCs w:val="32"/>
              </w:rPr>
              <w:t xml:space="preserve">10:20 - 12:00</w:t>
            </w:r>
          </w:p>
        </w:tc>
        <w:tc>
          <w:tcPr>
            <w:tcW w:w="7500" w:type="dxa"/>
            <w:vAlign w:val="top"/>
          </w:tcPr>
          <w:p>
            <w:r>
              <w:rPr>
                <w:rFonts w:ascii="BrowalliaUPC" w:hAnsi="BrowalliaUPC" w:eastAsia="BrowalliaUPC" w:cs="BrowalliaUPC"/>
                <w:sz w:val="32"/>
                <w:szCs w:val="32"/>
              </w:rPr>
              <w:t xml:space="preserve">Visit the Cottage Industry Centre and Outlet </w:t>
            </w:r>
            <w:br/>
            <w:r>
              <w:rPr>
                <w:rFonts w:ascii="BrowalliaUPC" w:hAnsi="BrowalliaUPC" w:eastAsia="BrowalliaUPC" w:cs="BrowalliaUPC"/>
                <w:sz w:val="32"/>
                <w:szCs w:val="32"/>
                <w:i/>
                <w:iCs/>
              </w:rPr>
              <w:t xml:space="preserve">"This “mid‐stream” phase of development combines local wisdom, particularly of local women, and modern know‐how and adds exponential value to hand‐made products, making them highly marketable locally and internationally.
•	Weaving Factory
•	Mulberry paper Factory
•	Coffee Roasting Facility
•	Ceramic Factory
"</w:t>
            </w:r>
          </w:p>
        </w:tc>
      </w:tr>
      <w:tr>
        <w:trPr/>
        <w:tc>
          <w:tcPr>
            <w:tcW w:w="2500" w:type="dxa"/>
            <w:vAlign w:val="top"/>
          </w:tcPr>
          <w:p>
            <w:pPr/>
            <w:r>
              <w:rPr>
                <w:rFonts w:ascii="BrowalliaUPC" w:hAnsi="BrowalliaUPC" w:eastAsia="BrowalliaUPC" w:cs="BrowalliaUPC"/>
                <w:sz w:val="32"/>
                <w:szCs w:val="32"/>
              </w:rPr>
              <w:t xml:space="preserve">12:00 - 12:30</w:t>
            </w:r>
          </w:p>
        </w:tc>
        <w:tc>
          <w:tcPr>
            <w:tcW w:w="7500" w:type="dxa"/>
            <w:vAlign w:val="top"/>
          </w:tcPr>
          <w:p>
            <w:r>
              <w:rPr>
                <w:rFonts w:ascii="BrowalliaUPC" w:hAnsi="BrowalliaUPC" w:eastAsia="BrowalliaUPC" w:cs="BrowalliaUPC"/>
                <w:sz w:val="32"/>
                <w:szCs w:val="32"/>
              </w:rPr>
              <w:t xml:space="preserve">Leave for Krua Tumnak</w:t>
            </w:r>
          </w:p>
        </w:tc>
      </w:tr>
      <w:tr>
        <w:trPr/>
        <w:tc>
          <w:tcPr>
            <w:tcW w:w="2500" w:type="dxa"/>
            <w:vAlign w:val="top"/>
          </w:tcPr>
          <w:p>
            <w:pPr/>
            <w:r>
              <w:rPr>
                <w:rFonts w:ascii="BrowalliaUPC" w:hAnsi="BrowalliaUPC" w:eastAsia="BrowalliaUPC" w:cs="BrowalliaUPC"/>
                <w:sz w:val="32"/>
                <w:szCs w:val="32"/>
              </w:rPr>
              <w:t xml:space="preserve">12:30 - 13:30</w:t>
            </w:r>
          </w:p>
        </w:tc>
        <w:tc>
          <w:tcPr>
            <w:tcW w:w="7500" w:type="dxa"/>
            <w:vAlign w:val="top"/>
          </w:tcPr>
          <w:p>
            <w:r>
              <w:rPr>
                <w:rFonts w:ascii="BrowalliaUPC" w:hAnsi="BrowalliaUPC" w:eastAsia="BrowalliaUPC" w:cs="BrowalliaUPC"/>
                <w:sz w:val="32"/>
                <w:szCs w:val="32"/>
              </w:rPr>
              <w:t xml:space="preserve">Lunch at Krua Tumnak</w:t>
            </w:r>
          </w:p>
        </w:tc>
      </w:tr>
      <w:tr>
        <w:trPr/>
        <w:tc>
          <w:tcPr>
            <w:tcW w:w="2500" w:type="dxa"/>
            <w:vAlign w:val="top"/>
          </w:tcPr>
          <w:p>
            <w:pPr/>
            <w:r>
              <w:rPr>
                <w:rFonts w:ascii="BrowalliaUPC" w:hAnsi="BrowalliaUPC" w:eastAsia="BrowalliaUPC" w:cs="BrowalliaUPC"/>
                <w:sz w:val="32"/>
                <w:szCs w:val="32"/>
              </w:rPr>
              <w:t xml:space="preserve">13:30 - 14:30</w:t>
            </w:r>
          </w:p>
        </w:tc>
        <w:tc>
          <w:tcPr>
            <w:tcW w:w="7500" w:type="dxa"/>
            <w:vAlign w:val="top"/>
          </w:tcPr>
          <w:p>
            <w:r>
              <w:rPr>
                <w:rFonts w:ascii="BrowalliaUPC" w:hAnsi="BrowalliaUPC" w:eastAsia="BrowalliaUPC" w:cs="BrowalliaUPC"/>
                <w:sz w:val="32"/>
                <w:szCs w:val="32"/>
              </w:rPr>
              <w:t xml:space="preserve">Briefing on the work of Mae Fah Luang Foundation (MFLF) in Sustainable Alternative Livelihood Development: Doi Tung Development Project and beyond and visit the Project's database centre </w:t>
            </w:r>
          </w:p>
        </w:tc>
      </w:tr>
      <w:tr>
        <w:trPr/>
        <w:tc>
          <w:tcPr>
            <w:tcW w:w="2500" w:type="dxa"/>
            <w:vAlign w:val="top"/>
          </w:tcPr>
          <w:p>
            <w:pPr/>
            <w:r>
              <w:rPr>
                <w:rFonts w:ascii="BrowalliaUPC" w:hAnsi="BrowalliaUPC" w:eastAsia="BrowalliaUPC" w:cs="BrowalliaUPC"/>
                <w:sz w:val="32"/>
                <w:szCs w:val="32"/>
              </w:rPr>
              <w:t xml:space="preserve">14:30 - 16:00</w:t>
            </w:r>
          </w:p>
        </w:tc>
        <w:tc>
          <w:tcPr>
            <w:tcW w:w="7500" w:type="dxa"/>
            <w:vAlign w:val="top"/>
          </w:tcPr>
          <w:p>
            <w:r>
              <w:rPr>
                <w:rFonts w:ascii="BrowalliaUPC" w:hAnsi="BrowalliaUPC" w:eastAsia="BrowalliaUPC" w:cs="BrowalliaUPC"/>
                <w:sz w:val="32"/>
                <w:szCs w:val="32"/>
              </w:rPr>
              <w:t xml:space="preserve">Reflection workshop and talking session with MFLF Programme Implementor</w:t>
            </w:r>
          </w:p>
        </w:tc>
      </w:tr>
      <w:tr>
        <w:trPr/>
        <w:tc>
          <w:tcPr>
            <w:tcW w:w="2500" w:type="dxa"/>
            <w:vAlign w:val="top"/>
          </w:tcPr>
          <w:p>
            <w:pPr/>
            <w:r>
              <w:rPr>
                <w:rFonts w:ascii="BrowalliaUPC" w:hAnsi="BrowalliaUPC" w:eastAsia="BrowalliaUPC" w:cs="BrowalliaUPC"/>
                <w:sz w:val="32"/>
                <w:szCs w:val="32"/>
              </w:rPr>
              <w:t xml:space="preserve">16:00 - 16:00</w:t>
            </w:r>
          </w:p>
        </w:tc>
        <w:tc>
          <w:tcPr>
            <w:tcW w:w="7500" w:type="dxa"/>
            <w:vAlign w:val="top"/>
          </w:tcPr>
          <w:p>
            <w:r>
              <w:rPr>
                <w:rFonts w:ascii="BrowalliaUPC" w:hAnsi="BrowalliaUPC" w:eastAsia="BrowalliaUPC" w:cs="BrowalliaUPC"/>
                <w:sz w:val="32"/>
                <w:szCs w:val="32"/>
              </w:rPr>
              <w:t xml:space="preserve">Leave for Chiang Mai</w:t>
            </w:r>
          </w:p>
        </w:tc>
      </w:tr>
    </w:tbl>
    <w:sectPr>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rFonts w:ascii="BrowalliaUPC" w:hAnsi="BrowalliaUPC" w:eastAsia="BrowalliaUPC" w:cs="BrowalliaUPC"/>
      <w:sz w:val="36"/>
      <w:szCs w:val="36"/>
      <w:b/>
    </w:rPr>
  </w:style>
  <w:style w:type="paragraph" w:styleId="Heading2">
    <w:link w:val="Heading2Char"/>
    <w:name w:val="heading 2"/>
    <w:basedOn w:val="Normal"/>
    <w:pPr>
      <w:jc w:val="center"/>
    </w:pPr>
    <w:rPr>
      <w:rFonts w:ascii="BrowalliaUPC" w:hAnsi="BrowalliaUPC" w:eastAsia="BrowalliaUPC" w:cs="BrowalliaUPC"/>
      <w:sz w:val="36"/>
      <w:szCs w:val="36"/>
    </w:rPr>
  </w:style>
  <w:style w:type="paragraph" w:styleId="Heading3">
    <w:link w:val="Heading3Char"/>
    <w:name w:val="heading 3"/>
    <w:basedOn w:val="Normal"/>
    <w:pPr>
      <w:jc w:val="center"/>
    </w:pPr>
    <w:rPr>
      <w:rFonts w:ascii="BrowalliaUPC" w:hAnsi="BrowalliaUPC" w:eastAsia="BrowalliaUPC" w:cs="BrowalliaUPC"/>
      <w:color w:val="#CCCCCC"/>
      <w:sz w:val="24"/>
      <w:szCs w:val="24"/>
    </w:rPr>
  </w:style>
  <w:style w:type="table" w:customStyle="1" w:styleId="Border Less">
    <w:name w:val="Border Less"/>
    <w:uiPriority w:val="99"/>
    <w:tblPr>
      <w:tblW w:w="10000" w:type="pct"/>
      <w:tblCellMar>
        <w:top w:w="80" w:type="dxa"/>
        <w:left w:w="80" w:type="dxa"/>
        <w:right w:w="80" w:type="dxa"/>
        <w:bottom w:w="8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2015-11-15T21:20:21+07:00</dcterms:created>
  <dcterms:modified xsi:type="dcterms:W3CDTF">2015-11-15T21:20:21+07:00</dcterms:modified>
</cp:coreProperties>
</file>

<file path=docProps/custom.xml><?xml version="1.0" encoding="utf-8"?>
<Properties xmlns="http://schemas.openxmlformats.org/officeDocument/2006/custom-properties" xmlns:vt="http://schemas.openxmlformats.org/officeDocument/2006/docPropsVTypes"/>
</file>