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</w:pPr>
      <w:r>
        <w:pict>
          <v:shape type="#_x0000_t75" style="width:500px; height:71.875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pStyle w:val="Heading2"/>
      </w:pPr>
      <w:bookmarkStart w:id="1" w:name="_Toc1"/>
      <w:r>
        <w:t>ใบเสนอราคาการศึกษาดูงาน แผน A</w:t>
      </w:r>
      <w:bookmarkEnd w:id="1"/>
    </w:p>
    <w:p>
      <w:pPr>
        <w:pStyle w:val="Heading1"/>
      </w:pPr>
      <w:bookmarkStart w:id="2" w:name="_Toc2"/>
      <w:r>
        <w:t>ภาควิจัยและจิตวิทยาประยุกต์ คณะศึกษาศาสตร์ มหาวิทยาลัยบูรพา</w:t>
      </w:r>
      <w:bookmarkEnd w:id="2"/>
    </w:p>
    <w:p>
      <w:pPr>
        <w:pStyle w:val="Heading2"/>
      </w:pPr>
      <w:bookmarkStart w:id="3" w:name="_Toc3"/>
      <w:r>
        <w:t>วันที่ 12 มีนาคม 2562</w:t>
      </w:r>
      <w:bookmarkEnd w:id="3"/>
    </w:p>
    <w:tbl>
      <w:tblGrid>
        <w:gridCol w:w="8000" w:type="dxa"/>
        <w:gridCol w:w="2000" w:type="dxa"/>
      </w:tblGrid>
      <w:tblPr>
        <w:tblStyle w:val="Border Less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jc w:val="right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รหัสลูกค้า  :  912B62053</w:t>
            </w:r>
          </w:p>
        </w:tc>
      </w:tr>
      <w:tr>
        <w:trPr/>
        <w:tc>
          <w:tcPr>
            <w:tcW w:w="8000" w:type="dxa"/>
            <w:vAlign w:val="center"/>
            <w:shd w:val="clear" w:color="" w:fill="#00e5e5"/>
          </w:tcPr>
          <w:p>
            <w:pPr/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รายการ</w:t>
            </w:r>
          </w:p>
        </w:tc>
        <w:tc>
          <w:tcPr>
            <w:tcW w:w="2000" w:type="dxa"/>
            <w:vAlign w:val="center"/>
            <w:shd w:val="clear" w:color="" w:fill="#00e5e5"/>
          </w:tcPr>
          <w:p>
            <w:pPr>
              <w:jc w:val="right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บาท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  <w:u w:val="single"/>
              </w:rPr>
              <w:t xml:space="preserve">ค่าใช้จ่ายในการศึกษาดูงานจำนวน  17  ท่าน</w:t>
            </w:r>
          </w:p>
        </w:tc>
      </w:tr>
      <w:tr>
        <w:trPr/>
        <w:tc>
          <w:tcPr>
            <w:tcW w:w="8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กิจกรรมศึกษาดูงานการพัฒนาขั้นต้นน้ำ-กลางน้ำ-ปลายน้ำ และองค์การบริหารส่วนตำบลแม่ฟ้าหลวง</w:t>
            </w:r>
          </w:p>
        </w:tc>
        <w:tc>
          <w:tcPr>
            <w:tcW w:w="2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8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ค่าวิทยากรและเอกสารประกอบการดูงาน</w:t>
            </w:r>
          </w:p>
        </w:tc>
        <w:tc>
          <w:tcPr>
            <w:tcW w:w="2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8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อาหาร (มื้อกลางวัน 1 มื้อ  รวมทั้งหมด 1 มื้อ)</w:t>
            </w:r>
          </w:p>
        </w:tc>
        <w:tc>
          <w:tcPr>
            <w:tcW w:w="2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8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การเดินทางตลอดระยะเวลาในการศึกษาดูงาน</w:t>
            </w:r>
          </w:p>
        </w:tc>
        <w:tc>
          <w:tcPr>
            <w:tcW w:w="2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8000" w:type="dxa"/>
            <w:vAlign w:val="center"/>
          </w:tcPr>
          <w:p>
            <w:pPr/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ราคารวมทั้งสิ้น</w:t>
            </w:r>
          </w:p>
        </w:tc>
        <w:tc>
          <w:tcPr>
            <w:tcW w:w="2000" w:type="dxa"/>
            <w:vAlign w:val="center"/>
          </w:tcPr>
          <w:p>
            <w:pPr>
              <w:jc w:val="right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10,560</w:t>
            </w:r>
          </w:p>
        </w:tc>
      </w:tr>
      <w:tr>
        <w:trPr/>
        <w:tc>
          <w:tcPr>
            <w:tcW w:w="10000" w:type="dxa"/>
            <w:vAlign w:val="center"/>
            <w:shd w:val="clear" w:color="" w:fill="#000000"/>
            <w:gridSpan w:val="2"/>
          </w:tcPr>
          <w:p>
            <w:pPr/>
            <w:r>
              <w:rPr>
                <w:rFonts w:ascii="BrowalliaUPC" w:hAnsi="BrowalliaUPC" w:eastAsia="BrowalliaUPC" w:cs="BrowalliaUPC"/>
                <w:color w:val="#FFFFFF"/>
                <w:sz w:val="32"/>
                <w:szCs w:val="32"/>
                <w:b/>
              </w:rPr>
              <w:t xml:space="preserve">จำนวนเงินทั้งสิ้น หนึ่งหมื่นห้าร้อยหกสิบบาทถ้วน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jc w:val="left"/>
            </w:pPr>
            <w:r>
              <w:rPr>
                <w:rFonts w:ascii="BrowalliaUPC" w:hAnsi="BrowalliaUPC" w:eastAsia="BrowalliaUPC" w:cs="BrowalliaUPC"/>
                <w:color w:val="#666666"/>
                <w:sz w:val="24"/>
                <w:szCs w:val="24"/>
              </w:rPr>
              <w:t xml:space="preserve">ชำระเงินด้วยการโอนเงิน เข้าบัญชี “มูลนิธิแม่ฟ้าหลวง - ศูนย์พัฒนาและเผยแพร่องค์ความรู้” ธนาคารไทยพาณิชย์ จำกัด (มหาชน)                       สาขาลุมพินี บัญชีออมทรัพย์ เลขที่ 023-299167-9 และส่งใบนำฝากเข้าบัญชี (Pay-in Slip) และระบุเลขที่ใบเสนอราคาที่โอนเงินทุกครั้ง                ราคานี้กรุณาชำระภายใน 7 วันหลังที่ได้รับบริการ</w:t>
            </w:r>
          </w:p>
        </w:tc>
      </w:tr>
    </w:tbl>
    <w:tbl>
      <w:tblGrid>
        <w:gridCol w:w="5500" w:type="dxa"/>
        <w:gridCol w:w="4500" w:type="dxa"/>
      </w:tblGrid>
      <w:tblPr>
        <w:tblStyle w:val="Border Less"/>
      </w:tblPr>
      <w:tr>
        <w:trPr/>
        <w:tc>
          <w:tcPr>
            <w:tcW w:w="5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ข้าพเจ้ายอมรับเงื่อนไขในการชำระเงิน</w:t>
            </w:r>
          </w:p>
        </w:tc>
        <w:tc>
          <w:tcPr>
            <w:tcW w:w="4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  <w:tc>
          <w:tcPr>
            <w:tcW w:w="4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(                                    )</w:t>
            </w:r>
          </w:p>
        </w:tc>
        <w:tc>
          <w:tcPr>
            <w:tcW w:w="4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ผู้มีอำนาจลงนาม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(ณัชวรรัศ ขันติสิทธิ์)</w:t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ตำแหน่ง _________________________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มหาวิทยาลัยที่มีชีวิต ศูนย์พัฒนาและเผยแพร่องค์ความรู้</w:t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หน่วยงาน _________________________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มูลนิธิแม่ฟ้าหลวง ในพระบรมราชูปถัมภ์</w:t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วันที่ ____________________________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11 มีนาคม 2562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เมื่อลงนามแล้วขอความกรุณาส่งโทรสารกลับมาที่ 02-253-6999 หรือ tawin@doitung.org</w:t>
            </w:r>
          </w:p>
        </w:tc>
      </w:tr>
    </w:tbl>
    <w:sectPr>
      <w:pgSz w:orient="portrait" w:w="11870" w:h="16787"/>
      <w:pgMar w:top="600" w:right="800" w:bottom="600" w:left="80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</w:pPr>
    <w:rPr>
      <w:rFonts w:ascii="BrowalliaUPC" w:hAnsi="BrowalliaUPC" w:eastAsia="BrowalliaUPC" w:cs="BrowalliaUPC"/>
      <w:sz w:val="36"/>
      <w:szCs w:val="36"/>
      <w:b/>
    </w:rPr>
  </w:style>
  <w:style w:type="paragraph" w:styleId="Heading2">
    <w:link w:val="Heading2Char"/>
    <w:name w:val="heading 2"/>
    <w:basedOn w:val="Normal"/>
    <w:pPr>
      <w:jc w:val="center"/>
    </w:pPr>
    <w:rPr>
      <w:rFonts w:ascii="BrowalliaUPC" w:hAnsi="BrowalliaUPC" w:eastAsia="BrowalliaUPC" w:cs="BrowalliaUPC"/>
      <w:sz w:val="36"/>
      <w:szCs w:val="36"/>
    </w:rPr>
  </w:style>
  <w:style w:type="paragraph" w:styleId="Heading3">
    <w:link w:val="Heading3Char"/>
    <w:name w:val="heading 3"/>
    <w:basedOn w:val="Normal"/>
    <w:pPr>
      <w:jc w:val="center"/>
    </w:pPr>
    <w:rPr>
      <w:rFonts w:ascii="BrowalliaUPC" w:hAnsi="BrowalliaUPC" w:eastAsia="BrowalliaUPC" w:cs="BrowalliaUPC"/>
      <w:color w:val="#CCCCCC"/>
      <w:sz w:val="24"/>
      <w:szCs w:val="24"/>
    </w:rPr>
  </w:style>
  <w:style w:type="table" w:customStyle="1" w:styleId="Border Less">
    <w:name w:val="Border Less"/>
    <w:uiPriority w:val="99"/>
    <w:tblPr>
      <w:tblW w:w="10000" w:type="pct"/>
      <w:tblCellMar>
        <w:top w:w="30" w:type="dxa"/>
        <w:left w:w="30" w:type="dxa"/>
        <w:right w:w="30" w:type="dxa"/>
        <w:bottom w:w="30" w:type="dxa"/>
      </w:tblCellMar>
    </w:tblPr>
  </w:style>
  <w:style w:type="paragraph" w:customStyle="1" w:styleId="pStyle">
    <w:name w:val="pStyle"/>
    <w:basedOn w:val="Normal"/>
    <w:pPr>
      <w:jc w:val="center"/>
    </w:pPr>
  </w:style>
  <w:style w:type="paragraph" w:customStyle="1" w:styleId="pStyleNoSpace">
    <w:name w:val="pStyleNoSpace"/>
    <w:basedOn w:val="Normal"/>
    <w:pPr>
      <w:jc w:val="center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2019-03-11T14:41:40+07:00</dcterms:created>
  <dcterms:modified xsi:type="dcterms:W3CDTF">2019-03-11T14:41:40+07:00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