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 BBA มหาวิทยาลัยธรรมศาสตร์ </w:t>
      </w:r>
      <w:bookmarkEnd w:id="2"/>
    </w:p>
    <w:p>
      <w:pPr>
        <w:pStyle w:val="Heading2"/>
      </w:pPr>
      <w:bookmarkStart w:id="3" w:name="_Toc3"/>
      <w:r>
        <w:t>วันที่ 29 - 31 พฤษภาคม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2 มื้อ เบรกเช้า 2 มื้อ และเบรกบ่าย 1 มื้อ  รวมทั้งหมด 8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758,425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เจ็ดแสนห้าหมื่นแปดพันสี่ร้อยยี่สิบห้าบาทถ้วน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มกราคม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arunee.k@doitung.org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นักศึกษา BBA มหาวิทยาลัยธรรมศาสตร์ </w:t>
      </w:r>
      <w:bookmarkEnd w:id="5"/>
    </w:p>
    <w:p>
      <w:pPr>
        <w:pStyle w:val="Heading2"/>
      </w:pPr>
      <w:bookmarkStart w:id="6" w:name="_Toc6"/>
      <w:r>
        <w:t>29 - 31 May 2019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B62010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80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758,425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seven hundred and fifty-eight thousand, four hundred and twenty-five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conditions: Payment due within 30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University, Knowledge and Learning Center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January 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arunee.k@doitung.org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2019-01-21T15:50:33+07:00</dcterms:created>
  <dcterms:modified xsi:type="dcterms:W3CDTF">2019-01-21T15:50:33+07:00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