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โครงการเสริมสร้างประสิทธิภาพและพัฒนาคุณภาพชีวิตของข้าราชการจังหวัดชายแดนใต้ รุ่น 4/2562</w:t>
      </w:r>
      <w:bookmarkEnd w:id="2"/>
    </w:p>
    <w:p>
      <w:pPr>
        <w:pStyle w:val="Heading2"/>
      </w:pPr>
      <w:bookmarkStart w:id="3" w:name="_Toc3"/>
      <w:r>
        <w:t>วันที่ 17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912B61236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2019-03-13T08:42:11+07:00</dcterms:created>
  <dcterms:modified xsi:type="dcterms:W3CDTF">2019-03-13T08:42:11+07:00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