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คณะผู้เชี่ยวชาญด้านการเกษตรเนปาล</w:t>
      </w:r>
      <w:bookmarkEnd w:id="2"/>
    </w:p>
    <w:p>
      <w:pPr>
        <w:pStyle w:val="Heading2"/>
      </w:pPr>
      <w:bookmarkStart w:id="3" w:name="_Toc3"/>
      <w:r>
        <w:t>วันที่ 25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3,098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สามพันเก้าสิบแปดบาทถ้วน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(นางสาววิสิษฐ์อร รัชตะนาวิน)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พฤษภาคม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visit-orn@doitung.org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คณะผู้เชี่ยวชาญด้านการเกษตรเนปาล</w:t>
      </w:r>
      <w:bookmarkEnd w:id="5"/>
    </w:p>
    <w:p>
      <w:pPr>
        <w:pStyle w:val="Heading2"/>
      </w:pPr>
      <w:bookmarkStart w:id="6" w:name="_Toc6"/>
      <w:r>
        <w:t>25 May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0259056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4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3,098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three thousand and ninety-eight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Knowledge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May 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visit-orn@doitung.org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2016-05-19T23:22:14+07:00</dcterms:created>
  <dcterms:modified xsi:type="dcterms:W3CDTF">2016-05-19T23:22:14+07:00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